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方正小标宋简体" w:hAnsi="方正小标宋简体" w:eastAsia="方正小标宋简体" w:cs="方正小标宋简体"/>
          <w:sz w:val="28"/>
          <w:szCs w:val="44"/>
        </w:rPr>
      </w:pP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中山大学农学院20</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rPr>
        <w:t>年硕士研究生</w:t>
      </w:r>
    </w:p>
    <w:p>
      <w:pPr>
        <w:spacing w:line="540" w:lineRule="exact"/>
        <w:jc w:val="center"/>
        <w:rPr>
          <w:rFonts w:ascii="仿宋" w:hAnsi="仿宋" w:eastAsia="仿宋" w:cs="仿宋"/>
          <w:b/>
          <w:bCs/>
          <w:sz w:val="32"/>
          <w:szCs w:val="32"/>
        </w:rPr>
      </w:pPr>
      <w:r>
        <w:rPr>
          <w:rFonts w:hint="eastAsia" w:ascii="方正小标宋简体" w:hAnsi="方正小标宋简体" w:eastAsia="方正小标宋简体" w:cs="方正小标宋简体"/>
          <w:sz w:val="44"/>
          <w:szCs w:val="44"/>
        </w:rPr>
        <w:t>复试录取方案</w:t>
      </w:r>
    </w:p>
    <w:p>
      <w:pPr>
        <w:spacing w:line="540" w:lineRule="exact"/>
        <w:ind w:firstLine="640" w:firstLineChars="200"/>
        <w:rPr>
          <w:rFonts w:ascii="仿宋" w:hAnsi="仿宋" w:eastAsia="仿宋" w:cs="仿宋"/>
          <w:sz w:val="32"/>
          <w:szCs w:val="32"/>
        </w:rPr>
      </w:pP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根据教育部《2020年全国硕士研究生招生工作管理规定》（教学函〔2019〕6号）、《教育部办公厅关于做好2020年全国硕士研究生复试工作的通知》（教学厅〔2020〕4号）、《中山大学关于做好2020年硕士研究生复试录取工作的通知》等相关文件精神，结合疫情防控要求及我院各专业（方向）考生实际情况，制定本方案。 </w:t>
      </w:r>
      <w:r>
        <w:rPr>
          <w:rFonts w:ascii="仿宋" w:hAnsi="仿宋" w:eastAsia="仿宋" w:cs="仿宋"/>
          <w:sz w:val="32"/>
          <w:szCs w:val="32"/>
        </w:rPr>
        <w:t xml:space="preserve">   </w:t>
      </w:r>
    </w:p>
    <w:p>
      <w:pPr>
        <w:spacing w:line="540" w:lineRule="exact"/>
        <w:ind w:firstLine="643" w:firstLineChars="200"/>
        <w:rPr>
          <w:rFonts w:ascii="仿宋" w:hAnsi="仿宋" w:eastAsia="仿宋" w:cs="仿宋"/>
          <w:b/>
          <w:sz w:val="32"/>
          <w:szCs w:val="32"/>
        </w:rPr>
      </w:pPr>
    </w:p>
    <w:p>
      <w:pPr>
        <w:numPr>
          <w:ilvl w:val="0"/>
          <w:numId w:val="1"/>
        </w:num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复试分数线、招生人数和</w:t>
      </w:r>
      <w:r>
        <w:rPr>
          <w:rFonts w:ascii="仿宋" w:hAnsi="仿宋" w:eastAsia="仿宋" w:cs="仿宋"/>
          <w:b/>
          <w:sz w:val="32"/>
          <w:szCs w:val="32"/>
        </w:rPr>
        <w:t>复试</w:t>
      </w:r>
      <w:r>
        <w:rPr>
          <w:rFonts w:hint="eastAsia" w:ascii="仿宋" w:hAnsi="仿宋" w:eastAsia="仿宋" w:cs="仿宋"/>
          <w:b/>
          <w:sz w:val="32"/>
          <w:szCs w:val="32"/>
        </w:rPr>
        <w:t>名单</w:t>
      </w:r>
    </w:p>
    <w:p>
      <w:pPr>
        <w:spacing w:line="540" w:lineRule="exact"/>
        <w:rPr>
          <w:rFonts w:ascii="仿宋" w:hAnsi="仿宋" w:eastAsia="仿宋" w:cs="仿宋"/>
          <w:b/>
          <w:sz w:val="32"/>
          <w:szCs w:val="32"/>
        </w:rPr>
      </w:pPr>
    </w:p>
    <w:p>
      <w:pPr>
        <w:pStyle w:val="3"/>
        <w:ind w:firstLine="640" w:firstLineChars="200"/>
        <w:rPr>
          <w:rFonts w:ascii="仿宋" w:hAnsi="仿宋" w:eastAsia="仿宋" w:cs="仿宋"/>
          <w:sz w:val="32"/>
          <w:szCs w:val="32"/>
        </w:rPr>
      </w:pPr>
      <w:r>
        <w:rPr>
          <w:rFonts w:hint="eastAsia" w:ascii="仿宋" w:hAnsi="仿宋" w:eastAsia="仿宋" w:cs="仿宋"/>
          <w:sz w:val="32"/>
          <w:szCs w:val="32"/>
        </w:rPr>
        <w:t>1.我院各专业复试分数线如下：</w:t>
      </w:r>
    </w:p>
    <w:tbl>
      <w:tblPr>
        <w:tblStyle w:val="8"/>
        <w:tblW w:w="6818" w:type="dxa"/>
        <w:jc w:val="center"/>
        <w:tblLayout w:type="fixed"/>
        <w:tblCellMar>
          <w:top w:w="0" w:type="dxa"/>
          <w:left w:w="108" w:type="dxa"/>
          <w:bottom w:w="0" w:type="dxa"/>
          <w:right w:w="108" w:type="dxa"/>
        </w:tblCellMar>
      </w:tblPr>
      <w:tblGrid>
        <w:gridCol w:w="1185"/>
        <w:gridCol w:w="1140"/>
        <w:gridCol w:w="1095"/>
        <w:gridCol w:w="1118"/>
        <w:gridCol w:w="1155"/>
        <w:gridCol w:w="1125"/>
      </w:tblGrid>
      <w:tr>
        <w:tblPrEx>
          <w:tblCellMar>
            <w:top w:w="0" w:type="dxa"/>
            <w:left w:w="108" w:type="dxa"/>
            <w:bottom w:w="0" w:type="dxa"/>
            <w:right w:w="108" w:type="dxa"/>
          </w:tblCellMar>
        </w:tblPrEx>
        <w:trPr>
          <w:trHeight w:val="360" w:hRule="atLeast"/>
          <w:jc w:val="center"/>
        </w:trPr>
        <w:tc>
          <w:tcPr>
            <w:tcW w:w="118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专业代码</w:t>
            </w:r>
          </w:p>
        </w:tc>
        <w:tc>
          <w:tcPr>
            <w:tcW w:w="1140" w:type="dxa"/>
            <w:vMerge w:val="restart"/>
            <w:tcBorders>
              <w:top w:val="single" w:color="auto" w:sz="8" w:space="0"/>
              <w:left w:val="single" w:color="auto" w:sz="8" w:space="0"/>
              <w:right w:val="single" w:color="auto" w:sz="8" w:space="0"/>
            </w:tcBorders>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专业名称</w:t>
            </w:r>
          </w:p>
        </w:tc>
        <w:tc>
          <w:tcPr>
            <w:tcW w:w="1095" w:type="dxa"/>
            <w:vMerge w:val="restart"/>
            <w:tcBorders>
              <w:top w:val="single" w:color="auto" w:sz="8" w:space="0"/>
              <w:left w:val="single" w:color="auto" w:sz="8" w:space="0"/>
              <w:right w:val="single" w:color="auto" w:sz="8" w:space="0"/>
            </w:tcBorders>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方向</w:t>
            </w:r>
          </w:p>
        </w:tc>
        <w:tc>
          <w:tcPr>
            <w:tcW w:w="3398" w:type="dxa"/>
            <w:gridSpan w:val="3"/>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复试分数线</w:t>
            </w:r>
          </w:p>
        </w:tc>
      </w:tr>
      <w:tr>
        <w:tblPrEx>
          <w:tblCellMar>
            <w:top w:w="0" w:type="dxa"/>
            <w:left w:w="108" w:type="dxa"/>
            <w:bottom w:w="0" w:type="dxa"/>
            <w:right w:w="108" w:type="dxa"/>
          </w:tblCellMar>
        </w:tblPrEx>
        <w:trPr>
          <w:trHeight w:val="385" w:hRule="atLeast"/>
          <w:jc w:val="center"/>
        </w:trPr>
        <w:tc>
          <w:tcPr>
            <w:tcW w:w="11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等线" w:eastAsia="仿宋_GB2312" w:cs="宋体"/>
                <w:b/>
                <w:bCs/>
                <w:color w:val="000000"/>
                <w:kern w:val="0"/>
                <w:sz w:val="18"/>
                <w:szCs w:val="18"/>
              </w:rPr>
            </w:pPr>
          </w:p>
        </w:tc>
        <w:tc>
          <w:tcPr>
            <w:tcW w:w="1140" w:type="dxa"/>
            <w:vMerge w:val="continue"/>
            <w:tcBorders>
              <w:left w:val="single" w:color="auto" w:sz="8" w:space="0"/>
              <w:bottom w:val="single" w:color="auto" w:sz="8" w:space="0"/>
              <w:right w:val="single" w:color="auto" w:sz="8" w:space="0"/>
            </w:tcBorders>
            <w:vAlign w:val="center"/>
          </w:tcPr>
          <w:p>
            <w:pPr>
              <w:widowControl/>
              <w:jc w:val="left"/>
              <w:rPr>
                <w:rFonts w:ascii="仿宋_GB2312" w:hAnsi="等线" w:eastAsia="仿宋_GB2312" w:cs="宋体"/>
                <w:b/>
                <w:bCs/>
                <w:color w:val="000000"/>
                <w:kern w:val="0"/>
                <w:sz w:val="18"/>
                <w:szCs w:val="18"/>
              </w:rPr>
            </w:pPr>
          </w:p>
        </w:tc>
        <w:tc>
          <w:tcPr>
            <w:tcW w:w="1095" w:type="dxa"/>
            <w:vMerge w:val="continue"/>
            <w:tcBorders>
              <w:left w:val="single" w:color="auto" w:sz="8" w:space="0"/>
              <w:bottom w:val="single" w:color="auto" w:sz="8" w:space="0"/>
              <w:right w:val="single" w:color="auto" w:sz="8" w:space="0"/>
            </w:tcBorders>
            <w:vAlign w:val="center"/>
          </w:tcPr>
          <w:p>
            <w:pPr>
              <w:widowControl/>
              <w:jc w:val="left"/>
              <w:rPr>
                <w:rFonts w:ascii="仿宋_GB2312" w:hAnsi="等线" w:eastAsia="仿宋_GB2312" w:cs="宋体"/>
                <w:b/>
                <w:bCs/>
                <w:color w:val="000000"/>
                <w:kern w:val="0"/>
                <w:sz w:val="18"/>
                <w:szCs w:val="18"/>
              </w:rPr>
            </w:pPr>
          </w:p>
        </w:tc>
        <w:tc>
          <w:tcPr>
            <w:tcW w:w="1118"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总分</w:t>
            </w:r>
          </w:p>
        </w:tc>
        <w:tc>
          <w:tcPr>
            <w:tcW w:w="1155"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政治/外语</w:t>
            </w:r>
          </w:p>
        </w:tc>
        <w:tc>
          <w:tcPr>
            <w:tcW w:w="1125"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业务课</w:t>
            </w:r>
          </w:p>
        </w:tc>
      </w:tr>
      <w:tr>
        <w:tblPrEx>
          <w:tblCellMar>
            <w:top w:w="0" w:type="dxa"/>
            <w:left w:w="108" w:type="dxa"/>
            <w:bottom w:w="0" w:type="dxa"/>
            <w:right w:w="108" w:type="dxa"/>
          </w:tblCellMar>
        </w:tblPrEx>
        <w:trPr>
          <w:trHeight w:val="602" w:hRule="atLeast"/>
          <w:jc w:val="center"/>
        </w:trPr>
        <w:tc>
          <w:tcPr>
            <w:tcW w:w="118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071300</w:t>
            </w:r>
          </w:p>
        </w:tc>
        <w:tc>
          <w:tcPr>
            <w:tcW w:w="114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生态学</w:t>
            </w:r>
          </w:p>
        </w:tc>
        <w:tc>
          <w:tcPr>
            <w:tcW w:w="1095" w:type="dxa"/>
            <w:vMerge w:val="restart"/>
            <w:tcBorders>
              <w:top w:val="single" w:color="auto" w:sz="8" w:space="0"/>
              <w:left w:val="single" w:color="auto" w:sz="8" w:space="0"/>
              <w:right w:val="single" w:color="auto" w:sz="4" w:space="0"/>
            </w:tcBorders>
            <w:vAlign w:val="center"/>
          </w:tcPr>
          <w:p>
            <w:pPr>
              <w:jc w:val="center"/>
              <w:rPr>
                <w:rFonts w:ascii="宋体" w:hAnsi="宋体" w:cs="宋体"/>
              </w:rPr>
            </w:pPr>
            <w:r>
              <w:rPr>
                <w:rFonts w:hint="eastAsia" w:ascii="宋体" w:hAnsi="宋体" w:cs="宋体"/>
              </w:rPr>
              <w:t>不分方向</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w:t>
            </w:r>
          </w:p>
        </w:tc>
      </w:tr>
      <w:tr>
        <w:tblPrEx>
          <w:tblCellMar>
            <w:top w:w="0" w:type="dxa"/>
            <w:left w:w="108" w:type="dxa"/>
            <w:bottom w:w="0" w:type="dxa"/>
            <w:right w:w="108" w:type="dxa"/>
          </w:tblCellMar>
        </w:tblPrEx>
        <w:trPr>
          <w:trHeight w:val="578" w:hRule="atLeast"/>
          <w:jc w:val="center"/>
        </w:trPr>
        <w:tc>
          <w:tcPr>
            <w:tcW w:w="118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090400</w:t>
            </w:r>
          </w:p>
        </w:tc>
        <w:tc>
          <w:tcPr>
            <w:tcW w:w="114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植物保护</w:t>
            </w:r>
          </w:p>
        </w:tc>
        <w:tc>
          <w:tcPr>
            <w:tcW w:w="1095" w:type="dxa"/>
            <w:vMerge w:val="continue"/>
            <w:tcBorders>
              <w:left w:val="single" w:color="auto" w:sz="8" w:space="0"/>
              <w:bottom w:val="single" w:color="auto" w:sz="8" w:space="0"/>
              <w:right w:val="single" w:color="auto" w:sz="4" w:space="0"/>
            </w:tcBorders>
            <w:vAlign w:val="center"/>
          </w:tcPr>
          <w:p>
            <w:pPr>
              <w:widowControl/>
              <w:jc w:val="center"/>
              <w:rPr>
                <w:rFonts w:ascii="宋体" w:hAnsi="宋体" w:cs="宋体"/>
                <w:color w:val="000000"/>
                <w:kern w:val="0"/>
                <w:sz w:val="22"/>
                <w:szCs w:val="22"/>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w:t>
            </w:r>
          </w:p>
        </w:tc>
      </w:tr>
    </w:tbl>
    <w:p>
      <w:pPr>
        <w:spacing w:line="540" w:lineRule="exact"/>
        <w:ind w:firstLine="640" w:firstLineChars="200"/>
        <w:rPr>
          <w:rFonts w:ascii="仿宋" w:hAnsi="仿宋" w:eastAsia="仿宋" w:cs="仿宋"/>
          <w:sz w:val="32"/>
          <w:szCs w:val="32"/>
        </w:rPr>
      </w:pP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2.我院各专业拟招生人数如下，将根据情况调整，最终以实际录取人数为准。</w:t>
      </w:r>
    </w:p>
    <w:tbl>
      <w:tblPr>
        <w:tblStyle w:val="8"/>
        <w:tblpPr w:leftFromText="180" w:rightFromText="180" w:vertAnchor="text" w:horzAnchor="page" w:tblpX="2280" w:tblpY="764"/>
        <w:tblOverlap w:val="never"/>
        <w:tblW w:w="7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2224"/>
        <w:gridCol w:w="1134"/>
        <w:gridCol w:w="1553"/>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专业代码</w:t>
            </w:r>
          </w:p>
        </w:tc>
        <w:tc>
          <w:tcPr>
            <w:tcW w:w="2224" w:type="dxa"/>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专业名称</w:t>
            </w:r>
          </w:p>
        </w:tc>
        <w:tc>
          <w:tcPr>
            <w:tcW w:w="1134" w:type="dxa"/>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总计划</w:t>
            </w:r>
          </w:p>
        </w:tc>
        <w:tc>
          <w:tcPr>
            <w:tcW w:w="1553" w:type="dxa"/>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已招推免生</w:t>
            </w:r>
          </w:p>
        </w:tc>
        <w:tc>
          <w:tcPr>
            <w:tcW w:w="1424" w:type="dxa"/>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公开招考计划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spacing w:line="540" w:lineRule="exact"/>
              <w:jc w:val="center"/>
              <w:rPr>
                <w:rFonts w:ascii="宋体" w:hAnsi="宋体" w:cs="宋体"/>
                <w:color w:val="000000"/>
                <w:kern w:val="0"/>
                <w:sz w:val="22"/>
                <w:szCs w:val="22"/>
              </w:rPr>
            </w:pPr>
            <w:r>
              <w:rPr>
                <w:rFonts w:hint="eastAsia" w:ascii="宋体" w:hAnsi="宋体" w:cs="宋体"/>
                <w:color w:val="000000"/>
                <w:kern w:val="0"/>
                <w:sz w:val="22"/>
                <w:szCs w:val="22"/>
              </w:rPr>
              <w:t>071300</w:t>
            </w:r>
          </w:p>
        </w:tc>
        <w:tc>
          <w:tcPr>
            <w:tcW w:w="2224" w:type="dxa"/>
            <w:shd w:val="clear" w:color="auto" w:fill="auto"/>
          </w:tcPr>
          <w:p>
            <w:pPr>
              <w:spacing w:line="540" w:lineRule="exact"/>
              <w:jc w:val="center"/>
              <w:rPr>
                <w:rFonts w:ascii="宋体" w:hAnsi="宋体" w:cs="宋体"/>
                <w:color w:val="000000"/>
                <w:kern w:val="0"/>
                <w:sz w:val="22"/>
                <w:szCs w:val="22"/>
              </w:rPr>
            </w:pPr>
            <w:r>
              <w:rPr>
                <w:rFonts w:hint="eastAsia" w:ascii="宋体" w:hAnsi="宋体" w:cs="宋体"/>
                <w:color w:val="000000"/>
                <w:kern w:val="0"/>
                <w:sz w:val="22"/>
                <w:szCs w:val="22"/>
              </w:rPr>
              <w:t>生态学</w:t>
            </w:r>
          </w:p>
        </w:tc>
        <w:tc>
          <w:tcPr>
            <w:tcW w:w="1134" w:type="dxa"/>
            <w:shd w:val="clear" w:color="auto" w:fill="auto"/>
          </w:tcPr>
          <w:p>
            <w:pPr>
              <w:spacing w:line="540" w:lineRule="exact"/>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553" w:type="dxa"/>
            <w:shd w:val="clear" w:color="auto" w:fill="auto"/>
          </w:tcPr>
          <w:p>
            <w:pPr>
              <w:spacing w:line="540" w:lineRule="exact"/>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424" w:type="dxa"/>
            <w:shd w:val="clear" w:color="auto" w:fill="auto"/>
          </w:tcPr>
          <w:p>
            <w:pPr>
              <w:spacing w:line="540" w:lineRule="exact"/>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spacing w:line="540" w:lineRule="exact"/>
              <w:jc w:val="center"/>
              <w:rPr>
                <w:rFonts w:ascii="宋体" w:hAnsi="宋体" w:cs="宋体"/>
                <w:color w:val="000000"/>
                <w:kern w:val="0"/>
                <w:sz w:val="22"/>
                <w:szCs w:val="22"/>
              </w:rPr>
            </w:pPr>
            <w:r>
              <w:rPr>
                <w:rFonts w:hint="eastAsia" w:ascii="宋体" w:hAnsi="宋体" w:cs="宋体"/>
                <w:color w:val="000000"/>
                <w:kern w:val="0"/>
                <w:sz w:val="22"/>
                <w:szCs w:val="22"/>
              </w:rPr>
              <w:t>090400</w:t>
            </w:r>
          </w:p>
        </w:tc>
        <w:tc>
          <w:tcPr>
            <w:tcW w:w="2224" w:type="dxa"/>
            <w:shd w:val="clear" w:color="auto" w:fill="auto"/>
          </w:tcPr>
          <w:p>
            <w:pPr>
              <w:spacing w:line="540" w:lineRule="exact"/>
              <w:jc w:val="center"/>
              <w:rPr>
                <w:rFonts w:ascii="宋体" w:hAnsi="宋体" w:cs="宋体"/>
                <w:color w:val="000000"/>
                <w:kern w:val="0"/>
                <w:sz w:val="22"/>
                <w:szCs w:val="22"/>
              </w:rPr>
            </w:pPr>
            <w:r>
              <w:rPr>
                <w:rFonts w:hint="eastAsia" w:ascii="宋体" w:hAnsi="宋体" w:cs="宋体"/>
                <w:color w:val="000000"/>
                <w:kern w:val="0"/>
                <w:sz w:val="22"/>
                <w:szCs w:val="22"/>
              </w:rPr>
              <w:t>植物保护</w:t>
            </w:r>
          </w:p>
        </w:tc>
        <w:tc>
          <w:tcPr>
            <w:tcW w:w="1134" w:type="dxa"/>
            <w:shd w:val="clear" w:color="auto" w:fill="auto"/>
          </w:tcPr>
          <w:p>
            <w:pPr>
              <w:spacing w:line="540" w:lineRule="exact"/>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553" w:type="dxa"/>
            <w:shd w:val="clear" w:color="auto" w:fill="auto"/>
          </w:tcPr>
          <w:p>
            <w:pPr>
              <w:spacing w:line="540" w:lineRule="exact"/>
              <w:jc w:val="center"/>
              <w:rPr>
                <w:rFonts w:ascii="宋体" w:hAnsi="宋体" w:cs="宋体"/>
                <w:color w:val="000000"/>
                <w:kern w:val="0"/>
                <w:sz w:val="22"/>
                <w:szCs w:val="22"/>
              </w:rPr>
            </w:pPr>
            <w:r>
              <w:rPr>
                <w:rFonts w:hint="eastAsia" w:ascii="宋体" w:hAnsi="宋体" w:cs="宋体"/>
                <w:color w:val="000000"/>
                <w:kern w:val="0"/>
                <w:sz w:val="22"/>
                <w:szCs w:val="22"/>
              </w:rPr>
              <w:t>0</w:t>
            </w:r>
          </w:p>
        </w:tc>
        <w:tc>
          <w:tcPr>
            <w:tcW w:w="1424" w:type="dxa"/>
            <w:shd w:val="clear" w:color="auto" w:fill="auto"/>
          </w:tcPr>
          <w:p>
            <w:pPr>
              <w:spacing w:line="540" w:lineRule="exact"/>
              <w:jc w:val="center"/>
              <w:rPr>
                <w:rFonts w:ascii="宋体" w:hAnsi="宋体" w:cs="宋体"/>
                <w:color w:val="000000"/>
                <w:kern w:val="0"/>
                <w:sz w:val="22"/>
                <w:szCs w:val="22"/>
              </w:rPr>
            </w:pPr>
            <w:r>
              <w:rPr>
                <w:rFonts w:hint="eastAsia" w:ascii="宋体" w:hAnsi="宋体" w:cs="宋体"/>
                <w:color w:val="000000"/>
                <w:kern w:val="0"/>
                <w:sz w:val="22"/>
                <w:szCs w:val="22"/>
              </w:rPr>
              <w:t>15</w:t>
            </w:r>
          </w:p>
        </w:tc>
      </w:tr>
    </w:tbl>
    <w:p>
      <w:pPr>
        <w:spacing w:line="540" w:lineRule="exact"/>
        <w:rPr>
          <w:rFonts w:ascii="仿宋" w:hAnsi="仿宋" w:eastAsia="仿宋" w:cs="仿宋"/>
          <w:sz w:val="32"/>
          <w:szCs w:val="32"/>
        </w:rPr>
      </w:pPr>
    </w:p>
    <w:p>
      <w:pPr>
        <w:pStyle w:val="3"/>
        <w:ind w:firstLine="640" w:firstLineChars="200"/>
        <w:rPr>
          <w:rFonts w:ascii="仿宋" w:hAnsi="仿宋" w:eastAsia="仿宋" w:cs="仿宋"/>
          <w:sz w:val="32"/>
          <w:szCs w:val="32"/>
        </w:rPr>
      </w:pPr>
      <w:r>
        <w:rPr>
          <w:rFonts w:hint="eastAsia" w:ascii="仿宋" w:hAnsi="仿宋" w:eastAsia="仿宋" w:cs="仿宋"/>
          <w:sz w:val="32"/>
          <w:szCs w:val="32"/>
        </w:rPr>
        <w:t>3.初试成绩符合我院复试分数线的第一志愿考生，均参加所报专业复试。</w:t>
      </w:r>
    </w:p>
    <w:p>
      <w:pPr>
        <w:spacing w:line="560" w:lineRule="exact"/>
        <w:ind w:firstLine="640" w:firstLineChars="200"/>
        <w:rPr>
          <w:rFonts w:eastAsia="仿宋_GB2312"/>
          <w:sz w:val="32"/>
          <w:szCs w:val="32"/>
        </w:rPr>
      </w:pPr>
      <w:r>
        <w:rPr>
          <w:rFonts w:eastAsia="仿宋_GB2312"/>
          <w:sz w:val="32"/>
          <w:szCs w:val="32"/>
        </w:rPr>
        <w:t>第一志愿</w:t>
      </w:r>
      <w:r>
        <w:rPr>
          <w:rFonts w:hint="eastAsia" w:eastAsia="仿宋_GB2312"/>
          <w:sz w:val="32"/>
          <w:szCs w:val="32"/>
        </w:rPr>
        <w:t>生源不足的专业，拟接收</w:t>
      </w:r>
      <w:r>
        <w:rPr>
          <w:rFonts w:hint="eastAsia" w:eastAsia="仿宋_GB2312"/>
          <w:sz w:val="32"/>
          <w:szCs w:val="32"/>
          <w:highlight w:val="none"/>
        </w:rPr>
        <w:t>校内</w:t>
      </w:r>
      <w:r>
        <w:rPr>
          <w:rFonts w:hint="eastAsia" w:eastAsia="仿宋_GB2312"/>
          <w:sz w:val="32"/>
          <w:szCs w:val="32"/>
        </w:rPr>
        <w:t>相同或相近专业考生调剂，</w:t>
      </w:r>
      <w:r>
        <w:rPr>
          <w:rFonts w:eastAsia="仿宋_GB2312"/>
          <w:sz w:val="32"/>
          <w:szCs w:val="32"/>
        </w:rPr>
        <w:t>调剂公告</w:t>
      </w:r>
      <w:r>
        <w:rPr>
          <w:rFonts w:hint="eastAsia" w:eastAsia="仿宋_GB2312"/>
          <w:sz w:val="32"/>
          <w:szCs w:val="32"/>
        </w:rPr>
        <w:t>另行公布</w:t>
      </w:r>
      <w:r>
        <w:rPr>
          <w:rFonts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第一志愿考生与调剂考生分批次复试。</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4.考生请通过学院官网查询复试名单（见附件1）。</w:t>
      </w:r>
    </w:p>
    <w:p>
      <w:pPr>
        <w:spacing w:line="540" w:lineRule="exact"/>
        <w:rPr>
          <w:rFonts w:ascii="仿宋" w:hAnsi="仿宋" w:eastAsia="仿宋" w:cs="仿宋"/>
          <w:b/>
          <w:sz w:val="32"/>
          <w:szCs w:val="32"/>
        </w:rPr>
      </w:pPr>
    </w:p>
    <w:p>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二、资格审查</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请复试考生于5月15日前提供以下材料进行资格审查（调剂考生另行公布），材料以原件扫描件或照片电子版的形式，通过邮件提交，发送邮件至邮箱:lilin29@mail.sysu.edu.cn ，邮件标题格式：“考生编号-姓名-资格审查材料”，入学复查时核对原件。</w:t>
      </w:r>
    </w:p>
    <w:p>
      <w:pPr>
        <w:spacing w:line="540" w:lineRule="exact"/>
        <w:ind w:firstLine="640" w:firstLineChars="200"/>
        <w:rPr>
          <w:rFonts w:ascii="仿宋" w:hAnsi="仿宋" w:eastAsia="仿宋" w:cs="仿宋"/>
          <w:bCs/>
          <w:sz w:val="32"/>
          <w:szCs w:val="32"/>
        </w:rPr>
      </w:pPr>
      <w:r>
        <w:rPr>
          <w:rFonts w:hint="eastAsia" w:ascii="仿宋" w:hAnsi="仿宋" w:eastAsia="仿宋" w:cs="仿宋"/>
          <w:bCs/>
          <w:sz w:val="32"/>
          <w:szCs w:val="32"/>
        </w:rPr>
        <w:t>（一）资格审查材料</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1.</w:t>
      </w:r>
      <w:r>
        <w:rPr>
          <w:rFonts w:hint="eastAsia" w:ascii="仿宋" w:hAnsi="仿宋" w:eastAsia="仿宋" w:cs="仿宋"/>
          <w:bCs/>
          <w:sz w:val="32"/>
          <w:szCs w:val="32"/>
        </w:rPr>
        <w:t>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2.</w:t>
      </w:r>
      <w:r>
        <w:rPr>
          <w:rFonts w:hint="eastAsia" w:ascii="仿宋" w:hAnsi="仿宋" w:eastAsia="仿宋" w:cs="仿宋"/>
          <w:bCs/>
          <w:sz w:val="32"/>
          <w:szCs w:val="32"/>
        </w:rPr>
        <w:t>初试准考证。</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3.</w:t>
      </w:r>
      <w:r>
        <w:rPr>
          <w:rFonts w:hint="eastAsia" w:ascii="仿宋" w:hAnsi="仿宋" w:eastAsia="仿宋" w:cs="仿宋"/>
          <w:bCs/>
          <w:sz w:val="32"/>
          <w:szCs w:val="32"/>
        </w:rPr>
        <w:t>学籍学历证明（往届考生须提交《教育部学历证书电子注册备案表》，应届生须提交《教育部学籍在线验证报告》办理方式详见中国高等教育学生信息网http://www.chsi.com.cn/xlcx/bgys.jsp）。</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4.</w:t>
      </w:r>
      <w:r>
        <w:rPr>
          <w:rFonts w:hint="eastAsia" w:ascii="仿宋" w:hAnsi="仿宋" w:eastAsia="仿宋" w:cs="仿宋"/>
          <w:bCs/>
          <w:sz w:val="32"/>
          <w:szCs w:val="32"/>
        </w:rPr>
        <w:t>本科阶段学习成绩单原件或复印件（原件应加盖学校教务管理部门公章，复印件须有“原件复印”并加盖原件存档单位公章）。</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5.</w:t>
      </w:r>
      <w:r>
        <w:rPr>
          <w:rFonts w:hint="eastAsia" w:ascii="仿宋" w:hAnsi="仿宋" w:eastAsia="仿宋" w:cs="仿宋"/>
          <w:bCs/>
          <w:sz w:val="32"/>
          <w:szCs w:val="32"/>
        </w:rPr>
        <w:t>应届生提供学生证。</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6.</w:t>
      </w:r>
      <w:r>
        <w:rPr>
          <w:rFonts w:hint="eastAsia" w:ascii="仿宋" w:hAnsi="仿宋" w:eastAsia="仿宋" w:cs="仿宋"/>
          <w:bCs/>
          <w:sz w:val="32"/>
          <w:szCs w:val="32"/>
        </w:rPr>
        <w:t>往届毕业生提供毕业证书、学位证书（毕业证书丢失的提供“中国高等教育学生信息网”的《教育部学历证书电子注册备案表》或《中国高等教育学历认证报告》）。</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7.</w:t>
      </w:r>
      <w:r>
        <w:rPr>
          <w:rFonts w:hint="eastAsia" w:ascii="仿宋" w:hAnsi="仿宋" w:eastAsia="仿宋" w:cs="仿宋"/>
          <w:bCs/>
          <w:sz w:val="32"/>
          <w:szCs w:val="32"/>
        </w:rPr>
        <w:t>凡于境外获得的文凭须提交教育部留学服务中心出具的认证报告。</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8.</w:t>
      </w:r>
      <w:r>
        <w:rPr>
          <w:rFonts w:hint="eastAsia" w:ascii="仿宋" w:hAnsi="仿宋" w:eastAsia="仿宋" w:cs="仿宋"/>
          <w:bCs/>
          <w:sz w:val="32"/>
          <w:szCs w:val="32"/>
        </w:rPr>
        <w:t>在读研究生需提供培养单位出具的同意报考证明。</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（二）复试补充材料</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根据复试要求，</w:t>
      </w:r>
      <w:r>
        <w:rPr>
          <w:rFonts w:hint="eastAsia" w:ascii="仿宋" w:hAnsi="仿宋" w:eastAsia="仿宋" w:cs="仿宋"/>
          <w:sz w:val="32"/>
          <w:szCs w:val="32"/>
          <w:lang w:eastAsia="zh-CN"/>
        </w:rPr>
        <w:t>我院</w:t>
      </w:r>
      <w:r>
        <w:rPr>
          <w:rFonts w:hint="eastAsia" w:ascii="仿宋" w:hAnsi="仿宋" w:eastAsia="仿宋" w:cs="仿宋"/>
          <w:sz w:val="32"/>
          <w:szCs w:val="32"/>
        </w:rPr>
        <w:t>加强对考生既往学业、一贯表现、科研能力、综合素质和思想品德等情况的全面考察，</w:t>
      </w:r>
      <w:bookmarkStart w:id="0" w:name="_Hlk39689706"/>
      <w:r>
        <w:rPr>
          <w:rFonts w:hint="eastAsia" w:ascii="仿宋" w:hAnsi="仿宋" w:eastAsia="仿宋" w:cs="仿宋"/>
          <w:sz w:val="32"/>
          <w:szCs w:val="32"/>
        </w:rPr>
        <w:t>请考生提供大学学习成绩单、科研成果、竞赛获奖、社会服务等相关补充材料，</w:t>
      </w:r>
      <w:bookmarkEnd w:id="0"/>
      <w:r>
        <w:rPr>
          <w:rFonts w:hint="eastAsia" w:ascii="仿宋" w:hAnsi="仿宋" w:eastAsia="仿宋" w:cs="仿宋"/>
          <w:sz w:val="32"/>
          <w:szCs w:val="32"/>
        </w:rPr>
        <w:t>作为复试综合评价的评分依据。</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以上材料，复试前提交原件扫描件，未通过资格审查者将被取消复试资格；资格审查材料恕不退回。入学复查时核对原件，若不属实，将取消录取资格。</w:t>
      </w:r>
    </w:p>
    <w:p>
      <w:pPr>
        <w:spacing w:line="540" w:lineRule="exact"/>
        <w:ind w:firstLine="640" w:firstLineChars="200"/>
        <w:rPr>
          <w:rFonts w:ascii="仿宋" w:hAnsi="仿宋" w:eastAsia="仿宋" w:cs="仿宋"/>
          <w:kern w:val="0"/>
          <w:sz w:val="32"/>
          <w:szCs w:val="32"/>
        </w:rPr>
      </w:pPr>
    </w:p>
    <w:p>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三、复试方式、内容及评分</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（一）复试方式</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复试方式：网络远程复试。</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复试总分：复试总分500分，占入学总成绩的5</w:t>
      </w:r>
      <w:r>
        <w:rPr>
          <w:rFonts w:ascii="仿宋" w:hAnsi="仿宋" w:eastAsia="仿宋" w:cs="仿宋"/>
          <w:sz w:val="32"/>
          <w:szCs w:val="32"/>
        </w:rPr>
        <w:t>0%</w:t>
      </w:r>
      <w:r>
        <w:rPr>
          <w:rFonts w:hint="eastAsia" w:ascii="仿宋" w:hAnsi="仿宋" w:eastAsia="仿宋" w:cs="仿宋"/>
          <w:sz w:val="32"/>
          <w:szCs w:val="32"/>
        </w:rPr>
        <w:t>。</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考核时间：</w:t>
      </w:r>
      <w:bookmarkStart w:id="1" w:name="_Hlk38909095"/>
      <w:r>
        <w:rPr>
          <w:rFonts w:hint="eastAsia" w:ascii="仿宋" w:hAnsi="仿宋" w:eastAsia="仿宋" w:cs="仿宋"/>
          <w:sz w:val="32"/>
          <w:szCs w:val="32"/>
        </w:rPr>
        <w:t>每位考生的复试总时间不少于</w:t>
      </w:r>
      <w:r>
        <w:rPr>
          <w:rFonts w:ascii="仿宋" w:hAnsi="仿宋" w:eastAsia="仿宋" w:cs="仿宋"/>
          <w:sz w:val="32"/>
          <w:szCs w:val="32"/>
        </w:rPr>
        <w:t>20</w:t>
      </w:r>
      <w:r>
        <w:rPr>
          <w:rFonts w:hint="eastAsia" w:ascii="仿宋" w:hAnsi="仿宋" w:eastAsia="仿宋" w:cs="仿宋"/>
          <w:sz w:val="32"/>
          <w:szCs w:val="32"/>
        </w:rPr>
        <w:t>分钟</w:t>
      </w:r>
      <w:bookmarkEnd w:id="1"/>
      <w:r>
        <w:rPr>
          <w:rFonts w:hint="eastAsia" w:ascii="仿宋" w:hAnsi="仿宋" w:eastAsia="仿宋" w:cs="仿宋"/>
          <w:sz w:val="32"/>
          <w:szCs w:val="32"/>
        </w:rPr>
        <w:t>。</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4.</w:t>
      </w:r>
      <w:bookmarkStart w:id="2" w:name="_Hlk38909064"/>
      <w:r>
        <w:rPr>
          <w:rFonts w:hint="eastAsia" w:ascii="仿宋" w:hAnsi="仿宋" w:eastAsia="仿宋" w:cs="仿宋"/>
          <w:sz w:val="32"/>
          <w:szCs w:val="32"/>
        </w:rPr>
        <w:t>考核办法：</w:t>
      </w:r>
      <w:bookmarkEnd w:id="2"/>
      <w:r>
        <w:rPr>
          <w:rFonts w:hint="eastAsia" w:ascii="仿宋" w:hAnsi="仿宋" w:eastAsia="仿宋" w:cs="仿宋"/>
          <w:sz w:val="32"/>
          <w:szCs w:val="32"/>
        </w:rPr>
        <w:t>以面试为主。复试小组对参加复试的考生进行逐个考核，考生当场回答问题，必要时，复试小组成员会就相关问题进一步提问。</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（二）复试内容</w:t>
      </w:r>
    </w:p>
    <w:p>
      <w:pPr>
        <w:spacing w:line="540" w:lineRule="exact"/>
        <w:ind w:firstLine="640" w:firstLineChars="200"/>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复试考核内容由综合评价、外语应用能力测试、专业能力及综合素质考核三部分构成。</w:t>
      </w:r>
    </w:p>
    <w:p>
      <w:pPr>
        <w:spacing w:line="540" w:lineRule="exact"/>
        <w:ind w:firstLine="640" w:firstLineChars="200"/>
        <w:rPr>
          <w:rFonts w:ascii="仿宋" w:hAnsi="仿宋" w:eastAsia="仿宋" w:cs="仿宋"/>
          <w:sz w:val="32"/>
          <w:szCs w:val="32"/>
        </w:rPr>
      </w:pPr>
      <w:bookmarkStart w:id="3" w:name="_Hlk38908667"/>
      <w:r>
        <w:rPr>
          <w:rFonts w:hint="eastAsia" w:ascii="仿宋" w:hAnsi="仿宋" w:eastAsia="仿宋" w:cs="仿宋"/>
          <w:sz w:val="32"/>
          <w:szCs w:val="32"/>
        </w:rPr>
        <w:t>1．综合评价（总分100分，占复试成绩的20%）</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考试内容：结合考生大学学习成绩单、科研成果、竞赛获奖、社会服务等相关资料，对考生既往学业、一贯表现、科研能力、综合素质和思想政治素质等情况进行全面考察。</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考核形式：考生个人围绕综合评价考试内容做简要陈述（时间原则上不超过3分钟），考官同步查阅资料、随机提问。考生随机抽取思想政治素质和道德品质考题，考生结合考题作答，考官随机提问。</w:t>
      </w:r>
    </w:p>
    <w:p>
      <w:pPr>
        <w:spacing w:line="540" w:lineRule="exact"/>
        <w:ind w:firstLine="640" w:firstLineChars="200"/>
        <w:rPr>
          <w:rFonts w:ascii="仿宋" w:hAnsi="仿宋" w:eastAsia="仿宋" w:cs="仿宋"/>
          <w:sz w:val="32"/>
          <w:szCs w:val="32"/>
        </w:rPr>
      </w:pP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2.外语应用能力测试（总分100分，占复试成绩的20%）</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考试内容：重点考查考生外语应用的基本能力，是否具备本专业研究生入学的基本要求。</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考核形式：由考生现场随机抽取考题，按考官指令，完成考试内容。</w:t>
      </w:r>
    </w:p>
    <w:p>
      <w:pPr>
        <w:spacing w:line="540" w:lineRule="exact"/>
        <w:ind w:firstLine="640" w:firstLineChars="200"/>
        <w:rPr>
          <w:rFonts w:ascii="仿宋" w:hAnsi="仿宋" w:eastAsia="仿宋" w:cs="仿宋"/>
          <w:sz w:val="32"/>
          <w:szCs w:val="32"/>
        </w:rPr>
      </w:pP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3.专业能力及综合素质考核（总分300分，占复试成绩的60%）</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考核内容：重点考查考生对专业理论及相关知识的掌握是否扎实、深厚和宽广，是否具备本专业硕士研究生入学的基本要求；考查考生的知识结构、实践（实验）能力、综合分析和解决实际问题的能力、创新能力、写作水平等。</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考核形式：由考生现场随机抽取考题，考官宣读考题，考生作答；考官可视具体情况随机提问。</w:t>
      </w:r>
    </w:p>
    <w:p>
      <w:pPr>
        <w:spacing w:line="540" w:lineRule="exact"/>
        <w:ind w:firstLine="640" w:firstLineChars="200"/>
        <w:rPr>
          <w:rFonts w:ascii="仿宋" w:hAnsi="仿宋" w:eastAsia="仿宋" w:cs="仿宋"/>
          <w:sz w:val="32"/>
          <w:szCs w:val="32"/>
        </w:rPr>
      </w:pPr>
    </w:p>
    <w:bookmarkEnd w:id="3"/>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（三）考核评分</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每位考生复试结束后，由复试小组成员现场独立为考生评分。复试小组成员各自评分的算术平均值为该考生的最终复试成绩。成绩保留小数点后两位，四舍五入。</w:t>
      </w:r>
    </w:p>
    <w:p>
      <w:pPr>
        <w:spacing w:line="540" w:lineRule="exact"/>
        <w:rPr>
          <w:rFonts w:ascii="仿宋" w:hAnsi="仿宋" w:eastAsia="仿宋" w:cs="仿宋"/>
          <w:color w:val="FF0000"/>
          <w:sz w:val="32"/>
          <w:szCs w:val="32"/>
        </w:rPr>
      </w:pPr>
    </w:p>
    <w:p>
      <w:pPr>
        <w:spacing w:line="540" w:lineRule="exact"/>
        <w:ind w:firstLine="643" w:firstLineChars="200"/>
        <w:rPr>
          <w:rFonts w:ascii="仿宋" w:hAnsi="仿宋" w:eastAsia="仿宋" w:cs="仿宋"/>
          <w:color w:val="FF0000"/>
          <w:sz w:val="32"/>
          <w:szCs w:val="32"/>
          <w:u w:val="single"/>
        </w:rPr>
      </w:pPr>
      <w:r>
        <w:rPr>
          <w:rFonts w:hint="eastAsia" w:ascii="仿宋" w:hAnsi="仿宋" w:eastAsia="仿宋" w:cs="仿宋"/>
          <w:b/>
          <w:sz w:val="32"/>
          <w:szCs w:val="32"/>
        </w:rPr>
        <w:t>四、复试成绩</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1.复试成绩和初试成绩相加，即为入学考试总成绩，复试成绩和初试成绩各占总成绩的50%。</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2.各专业按照总成绩从高分到低分依次确定拟录取名单。总成绩同分情况下按照初试成绩</w:t>
      </w:r>
      <w:r>
        <w:rPr>
          <w:rFonts w:ascii="仿宋" w:hAnsi="仿宋" w:eastAsia="仿宋" w:cs="仿宋"/>
          <w:sz w:val="32"/>
          <w:szCs w:val="32"/>
        </w:rPr>
        <w:t>排序</w:t>
      </w:r>
      <w:r>
        <w:rPr>
          <w:rFonts w:hint="eastAsia" w:ascii="仿宋" w:hAnsi="仿宋" w:eastAsia="仿宋" w:cs="仿宋"/>
          <w:sz w:val="32"/>
          <w:szCs w:val="32"/>
        </w:rPr>
        <w:t>。</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w:t>
      </w:r>
      <w:r>
        <w:rPr>
          <w:rFonts w:eastAsia="仿宋_GB2312"/>
          <w:sz w:val="32"/>
          <w:szCs w:val="32"/>
        </w:rPr>
        <w:t>第一志愿考生和调剂考生分别排序，优先录取复试合格的第一志愿考生，</w:t>
      </w:r>
      <w:r>
        <w:rPr>
          <w:rFonts w:hint="eastAsia" w:ascii="仿宋" w:hAnsi="仿宋" w:eastAsia="仿宋" w:cs="仿宋"/>
          <w:sz w:val="32"/>
          <w:szCs w:val="32"/>
        </w:rPr>
        <w:t>再</w:t>
      </w:r>
      <w:r>
        <w:rPr>
          <w:rFonts w:hint="eastAsia" w:ascii="仿宋" w:hAnsi="仿宋" w:eastAsia="仿宋" w:cs="仿宋"/>
          <w:color w:val="auto"/>
          <w:sz w:val="32"/>
          <w:szCs w:val="32"/>
        </w:rPr>
        <w:t>按总成绩从高分到低分依次</w:t>
      </w:r>
      <w:r>
        <w:rPr>
          <w:rFonts w:hint="eastAsia" w:ascii="仿宋" w:hAnsi="仿宋" w:eastAsia="仿宋" w:cs="仿宋"/>
          <w:sz w:val="32"/>
          <w:szCs w:val="32"/>
        </w:rPr>
        <w:t>录取调剂考生。</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4.如有以下情况之一的考生，不予录取：</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（1）思想政治素质和道德品质考核不合格。</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（2）未参加复试或复试不合格(复试总成绩及各分项成绩有任一项低于60%为不合格)。</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（3）政审不合格。</w:t>
      </w:r>
    </w:p>
    <w:p>
      <w:pPr>
        <w:widowControl/>
        <w:spacing w:line="540" w:lineRule="exact"/>
        <w:ind w:firstLine="640" w:firstLineChars="200"/>
        <w:jc w:val="left"/>
        <w:rPr>
          <w:rFonts w:ascii="仿宋" w:hAnsi="仿宋" w:eastAsia="仿宋" w:cs="仿宋"/>
          <w:b/>
          <w:sz w:val="32"/>
          <w:szCs w:val="32"/>
        </w:rPr>
      </w:pPr>
      <w:r>
        <w:rPr>
          <w:rFonts w:hint="eastAsia" w:ascii="仿宋" w:hAnsi="仿宋" w:eastAsia="仿宋" w:cs="仿宋"/>
          <w:sz w:val="32"/>
          <w:szCs w:val="32"/>
        </w:rPr>
        <w:t>入学后3个月内，按照《普通高等学校学生管理规定》有关要求，对所有考生进行全面复查。复查不合格的，取消入学资格或学籍；情节严重的，移交有关部门调查处理。</w:t>
      </w:r>
    </w:p>
    <w:p>
      <w:pPr>
        <w:widowControl/>
        <w:spacing w:line="540" w:lineRule="exact"/>
        <w:ind w:firstLine="643" w:firstLineChars="200"/>
        <w:jc w:val="left"/>
        <w:rPr>
          <w:rFonts w:ascii="仿宋" w:hAnsi="仿宋" w:eastAsia="仿宋" w:cs="仿宋"/>
          <w:b/>
          <w:sz w:val="32"/>
          <w:szCs w:val="32"/>
        </w:rPr>
      </w:pPr>
    </w:p>
    <w:p>
      <w:pPr>
        <w:widowControl/>
        <w:spacing w:line="54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五、信息公布</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招生工作信息上报中山大学研究生院审批后，在本院网站</w:t>
      </w:r>
      <w:r>
        <w:rPr>
          <w:rFonts w:hint="eastAsia" w:eastAsia="仿宋_GB2312"/>
          <w:sz w:val="32"/>
          <w:szCs w:val="32"/>
        </w:rPr>
        <w:t>公布复试录取方案、分专业拟招生人数、复试考生名单、复试安排、调剂信息、复试结果等信息。</w:t>
      </w:r>
      <w:r>
        <w:rPr>
          <w:rFonts w:hint="eastAsia" w:ascii="仿宋" w:hAnsi="仿宋" w:eastAsia="仿宋" w:cs="仿宋"/>
          <w:sz w:val="32"/>
          <w:szCs w:val="32"/>
        </w:rPr>
        <w:t>复试结果报</w:t>
      </w:r>
      <w:r>
        <w:rPr>
          <w:rFonts w:ascii="仿宋" w:hAnsi="仿宋" w:eastAsia="仿宋" w:cs="仿宋"/>
          <w:sz w:val="32"/>
          <w:szCs w:val="32"/>
        </w:rPr>
        <w:t>学校审核后公布</w:t>
      </w:r>
      <w:r>
        <w:rPr>
          <w:rFonts w:hint="eastAsia" w:ascii="仿宋" w:hAnsi="仿宋" w:eastAsia="仿宋" w:cs="仿宋"/>
          <w:sz w:val="32"/>
          <w:szCs w:val="32"/>
        </w:rPr>
        <w:t>。</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拟录取名单经审核后将在中山大学研究生招生网上统一进行公示。</w:t>
      </w:r>
    </w:p>
    <w:p>
      <w:pPr>
        <w:spacing w:line="540" w:lineRule="exact"/>
        <w:ind w:firstLine="640" w:firstLineChars="200"/>
        <w:rPr>
          <w:rFonts w:ascii="仿宋" w:hAnsi="仿宋" w:eastAsia="仿宋" w:cs="仿宋"/>
          <w:sz w:val="32"/>
          <w:szCs w:val="32"/>
        </w:rPr>
      </w:pPr>
    </w:p>
    <w:p>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六、其他事项</w:t>
      </w:r>
    </w:p>
    <w:p>
      <w:pPr>
        <w:spacing w:line="540" w:lineRule="exact"/>
        <w:ind w:firstLine="640" w:firstLineChars="200"/>
        <w:rPr>
          <w:rFonts w:ascii="仿宋" w:hAnsi="仿宋" w:eastAsia="仿宋" w:cs="仿宋"/>
          <w:sz w:val="32"/>
          <w:szCs w:val="32"/>
          <w:shd w:val="clear" w:color="auto" w:fill="FFFFFF"/>
        </w:rPr>
      </w:pPr>
      <w:r>
        <w:rPr>
          <w:rFonts w:ascii="仿宋" w:hAnsi="仿宋" w:eastAsia="仿宋" w:cs="仿宋"/>
          <w:sz w:val="32"/>
          <w:szCs w:val="32"/>
          <w:shd w:val="clear" w:color="auto" w:fill="FFFFFF"/>
        </w:rPr>
        <w:t>1</w:t>
      </w:r>
      <w:r>
        <w:rPr>
          <w:rFonts w:hint="eastAsia" w:ascii="仿宋" w:hAnsi="仿宋" w:eastAsia="仿宋" w:cs="仿宋"/>
          <w:sz w:val="32"/>
          <w:szCs w:val="32"/>
          <w:shd w:val="clear" w:color="auto" w:fill="FFFFFF"/>
        </w:rPr>
        <w:t>.中山大学研究生院将根据上级统一工作安排开通硕士研究生招生录取通知书邮寄地址校对系统，拟录取的考生可通过该系统进行邮寄地址校对及修改，届时请关注中山大学研究生招生网。</w:t>
      </w:r>
    </w:p>
    <w:p>
      <w:pPr>
        <w:spacing w:line="540" w:lineRule="exact"/>
        <w:ind w:firstLine="640" w:firstLineChars="200"/>
        <w:rPr>
          <w:rFonts w:ascii="仿宋" w:hAnsi="仿宋" w:eastAsia="仿宋" w:cs="仿宋"/>
          <w:color w:val="000000"/>
          <w:sz w:val="32"/>
          <w:szCs w:val="32"/>
        </w:rPr>
      </w:pPr>
      <w:r>
        <w:rPr>
          <w:rFonts w:ascii="仿宋" w:hAnsi="仿宋" w:eastAsia="仿宋" w:cs="仿宋"/>
          <w:sz w:val="32"/>
          <w:szCs w:val="32"/>
        </w:rPr>
        <w:t>2</w:t>
      </w:r>
      <w:r>
        <w:rPr>
          <w:rFonts w:hint="eastAsia" w:ascii="仿宋" w:hAnsi="仿宋" w:eastAsia="仿宋" w:cs="仿宋"/>
          <w:sz w:val="32"/>
          <w:szCs w:val="32"/>
        </w:rPr>
        <w:t>.</w:t>
      </w:r>
      <w:r>
        <w:rPr>
          <w:rFonts w:hint="eastAsia" w:ascii="仿宋" w:hAnsi="仿宋" w:eastAsia="仿宋" w:cs="仿宋"/>
          <w:color w:val="000000"/>
          <w:sz w:val="32"/>
          <w:szCs w:val="32"/>
        </w:rPr>
        <w:t>本办法未尽事项，以中山大学研究生院相关文件为准。</w:t>
      </w:r>
    </w:p>
    <w:p>
      <w:pPr>
        <w:spacing w:line="540" w:lineRule="exact"/>
        <w:ind w:firstLine="640" w:firstLineChars="200"/>
        <w:rPr>
          <w:rFonts w:ascii="仿宋" w:hAnsi="仿宋" w:eastAsia="仿宋" w:cs="仿宋"/>
          <w:color w:val="000000"/>
          <w:sz w:val="32"/>
          <w:szCs w:val="32"/>
        </w:rPr>
      </w:pPr>
    </w:p>
    <w:p>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七、咨询、申诉及监督</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（一）咨询</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中山大学农学院 李老师</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电话：020-39339235</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邮箱：</w:t>
      </w:r>
      <w:r>
        <w:rPr>
          <w:rFonts w:hint="eastAsia" w:ascii="仿宋" w:hAnsi="仿宋" w:eastAsia="仿宋" w:cs="仿宋"/>
          <w:sz w:val="32"/>
          <w:szCs w:val="32"/>
        </w:rPr>
        <w:t>lilin29@mail.sysu.edu.cn</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（二）申诉</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中山大学农学院研究生复试工作领导小组</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电话：020-39332218、39332005</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（三）监督</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中山大学研究生招生办公室</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电话：020-84111686，84113696</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邮箱：</w:t>
      </w:r>
      <w:r>
        <w:fldChar w:fldCharType="begin"/>
      </w:r>
      <w:r>
        <w:instrText xml:space="preserve"> HYPERLINK "mailto:yzba@mail.sysu.edu.cn" </w:instrText>
      </w:r>
      <w:r>
        <w:fldChar w:fldCharType="separate"/>
      </w:r>
      <w:r>
        <w:rPr>
          <w:rFonts w:hint="eastAsia" w:ascii="仿宋" w:hAnsi="仿宋" w:eastAsia="仿宋" w:cs="仿宋"/>
          <w:kern w:val="0"/>
          <w:sz w:val="32"/>
          <w:szCs w:val="32"/>
        </w:rPr>
        <w:t>yzba@mail.sysu.edu.cn</w:t>
      </w:r>
      <w:r>
        <w:rPr>
          <w:rFonts w:hint="eastAsia" w:ascii="仿宋" w:hAnsi="仿宋" w:eastAsia="仿宋" w:cs="仿宋"/>
          <w:kern w:val="0"/>
          <w:sz w:val="32"/>
          <w:szCs w:val="32"/>
        </w:rPr>
        <w:fldChar w:fldCharType="end"/>
      </w:r>
    </w:p>
    <w:p>
      <w:pPr>
        <w:spacing w:line="540" w:lineRule="exact"/>
        <w:ind w:left="480"/>
        <w:rPr>
          <w:rFonts w:ascii="仿宋" w:hAnsi="仿宋" w:eastAsia="仿宋" w:cs="仿宋"/>
          <w:kern w:val="0"/>
          <w:sz w:val="32"/>
          <w:szCs w:val="32"/>
        </w:rPr>
      </w:pPr>
    </w:p>
    <w:p>
      <w:pPr>
        <w:spacing w:line="540" w:lineRule="exact"/>
        <w:ind w:left="480"/>
        <w:rPr>
          <w:rFonts w:ascii="仿宋" w:hAnsi="仿宋" w:eastAsia="仿宋" w:cs="仿宋"/>
          <w:kern w:val="0"/>
          <w:sz w:val="32"/>
          <w:szCs w:val="32"/>
        </w:rPr>
      </w:pPr>
    </w:p>
    <w:p>
      <w:pPr>
        <w:wordWrap w:val="0"/>
        <w:spacing w:line="540" w:lineRule="exact"/>
        <w:ind w:right="480" w:firstLine="640" w:firstLineChars="200"/>
        <w:jc w:val="center"/>
        <w:rPr>
          <w:rFonts w:ascii="仿宋" w:hAnsi="仿宋" w:eastAsia="仿宋" w:cs="仿宋"/>
          <w:sz w:val="32"/>
          <w:szCs w:val="32"/>
        </w:rPr>
      </w:pPr>
      <w:r>
        <w:rPr>
          <w:rFonts w:hint="eastAsia" w:ascii="仿宋" w:hAnsi="仿宋" w:eastAsia="仿宋" w:cs="仿宋"/>
          <w:sz w:val="32"/>
          <w:szCs w:val="32"/>
        </w:rPr>
        <w:t xml:space="preserve">                           中山大学农学院</w:t>
      </w:r>
    </w:p>
    <w:p>
      <w:pPr>
        <w:wordWrap w:val="0"/>
        <w:spacing w:line="540" w:lineRule="exact"/>
        <w:ind w:right="480" w:firstLine="640" w:firstLineChars="200"/>
        <w:jc w:val="center"/>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2</w:t>
      </w:r>
      <w:r>
        <w:rPr>
          <w:rFonts w:ascii="仿宋" w:hAnsi="仿宋" w:eastAsia="仿宋" w:cs="仿宋"/>
          <w:sz w:val="32"/>
          <w:szCs w:val="32"/>
        </w:rPr>
        <w:t>020年</w:t>
      </w:r>
      <w:r>
        <w:rPr>
          <w:rFonts w:hint="eastAsia" w:ascii="仿宋" w:hAnsi="仿宋" w:eastAsia="仿宋" w:cs="仿宋"/>
          <w:sz w:val="32"/>
          <w:szCs w:val="32"/>
        </w:rPr>
        <w:t>5月1</w:t>
      </w:r>
      <w:r>
        <w:rPr>
          <w:rFonts w:ascii="仿宋" w:hAnsi="仿宋" w:eastAsia="仿宋" w:cs="仿宋"/>
          <w:sz w:val="32"/>
          <w:szCs w:val="32"/>
        </w:rPr>
        <w:t>4日</w:t>
      </w:r>
    </w:p>
    <w:p>
      <w:pPr>
        <w:spacing w:line="540" w:lineRule="exact"/>
        <w:ind w:right="640" w:firstLine="640" w:firstLineChars="200"/>
        <w:jc w:val="center"/>
        <w:rPr>
          <w:rFonts w:ascii="仿宋" w:hAnsi="仿宋" w:eastAsia="仿宋" w:cs="仿宋"/>
          <w:sz w:val="32"/>
          <w:szCs w:val="32"/>
        </w:rPr>
      </w:pPr>
      <w:r>
        <w:rPr>
          <w:rFonts w:hint="eastAsia" w:ascii="仿宋" w:hAnsi="仿宋" w:eastAsia="仿宋" w:cs="仿宋"/>
          <w:sz w:val="32"/>
          <w:szCs w:val="32"/>
        </w:rPr>
        <w:t xml:space="preserve">                            </w:t>
      </w:r>
    </w:p>
    <w:p>
      <w:pPr>
        <w:widowControl/>
        <w:spacing w:line="540" w:lineRule="exact"/>
        <w:jc w:val="left"/>
        <w:rPr>
          <w:rFonts w:ascii="仿宋" w:hAnsi="仿宋" w:eastAsia="仿宋" w:cs="仿宋"/>
          <w:b/>
          <w:sz w:val="32"/>
          <w:szCs w:val="32"/>
        </w:rPr>
      </w:pPr>
    </w:p>
    <w:p>
      <w:pPr>
        <w:widowControl/>
        <w:spacing w:line="540" w:lineRule="exact"/>
        <w:jc w:val="left"/>
        <w:rPr>
          <w:rFonts w:ascii="仿宋" w:hAnsi="仿宋" w:eastAsia="仿宋" w:cs="仿宋"/>
          <w:b/>
          <w:sz w:val="32"/>
          <w:szCs w:val="32"/>
        </w:rPr>
      </w:pPr>
    </w:p>
    <w:p>
      <w:pPr>
        <w:widowControl/>
        <w:spacing w:line="540" w:lineRule="exact"/>
        <w:jc w:val="left"/>
        <w:rPr>
          <w:rFonts w:ascii="仿宋" w:hAnsi="仿宋" w:eastAsia="仿宋" w:cs="仿宋"/>
          <w:b/>
          <w:sz w:val="32"/>
          <w:szCs w:val="32"/>
        </w:rPr>
      </w:pPr>
      <w:r>
        <w:rPr>
          <w:rFonts w:hint="eastAsia" w:ascii="仿宋" w:hAnsi="仿宋" w:eastAsia="仿宋" w:cs="仿宋"/>
          <w:b/>
          <w:sz w:val="32"/>
          <w:szCs w:val="32"/>
        </w:rPr>
        <w:t>附件：</w:t>
      </w:r>
    </w:p>
    <w:p>
      <w:pPr>
        <w:spacing w:line="540" w:lineRule="exact"/>
        <w:ind w:left="480" w:firstLine="320" w:firstLineChars="100"/>
        <w:rPr>
          <w:rFonts w:ascii="仿宋" w:hAnsi="仿宋" w:eastAsia="仿宋" w:cs="仿宋"/>
          <w:sz w:val="32"/>
          <w:szCs w:val="32"/>
        </w:rPr>
      </w:pPr>
      <w:r>
        <w:rPr>
          <w:rFonts w:hint="eastAsia" w:ascii="仿宋" w:hAnsi="仿宋" w:eastAsia="仿宋" w:cs="仿宋"/>
          <w:sz w:val="32"/>
          <w:szCs w:val="32"/>
        </w:rPr>
        <w:t>1.复试名单</w:t>
      </w:r>
    </w:p>
    <w:p>
      <w:pPr>
        <w:spacing w:line="540" w:lineRule="exact"/>
        <w:ind w:left="480" w:firstLine="320" w:firstLineChars="1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2.中山大学2020年硕士研究生网络远程复试流程及复试系统使用指南（考生版）</w:t>
      </w:r>
    </w:p>
    <w:p>
      <w:pPr>
        <w:spacing w:line="540" w:lineRule="exact"/>
        <w:ind w:left="480" w:firstLine="320" w:firstLineChars="1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中山大学2020年硕士研究生入学考试考生诚信复试承诺书</w:t>
      </w:r>
    </w:p>
    <w:p>
      <w:pPr>
        <w:spacing w:line="540" w:lineRule="exact"/>
        <w:ind w:left="480" w:firstLine="320" w:firstLineChars="1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4.复试安排</w:t>
      </w:r>
    </w:p>
    <w:p>
      <w:pPr>
        <w:spacing w:line="540" w:lineRule="exact"/>
        <w:ind w:left="480" w:firstLine="320" w:firstLineChars="100"/>
        <w:rPr>
          <w:rFonts w:ascii="仿宋" w:hAnsi="仿宋" w:eastAsia="仿宋" w:cs="仿宋"/>
          <w:color w:val="000000" w:themeColor="text1"/>
          <w:sz w:val="32"/>
          <w:szCs w:val="32"/>
          <w14:textFill>
            <w14:solidFill>
              <w14:schemeClr w14:val="tx1"/>
            </w14:solidFill>
          </w14:textFill>
        </w:rPr>
      </w:pPr>
      <w:bookmarkStart w:id="4" w:name="_GoBack"/>
      <w:bookmarkEnd w:id="4"/>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196706"/>
    </w:sdtPr>
    <w:sdtEndPr>
      <w:rPr>
        <w:sz w:val="21"/>
      </w:rPr>
    </w:sdtEndPr>
    <w:sdtContent>
      <w:p>
        <w:pPr>
          <w:pStyle w:val="5"/>
          <w:jc w:val="center"/>
          <w:rPr>
            <w:sz w:val="21"/>
          </w:rPr>
        </w:pPr>
        <w:r>
          <w:rPr>
            <w:sz w:val="21"/>
          </w:rPr>
          <w:fldChar w:fldCharType="begin"/>
        </w:r>
        <w:r>
          <w:rPr>
            <w:sz w:val="21"/>
          </w:rPr>
          <w:instrText xml:space="preserve">PAGE   \* MERGEFORMAT</w:instrText>
        </w:r>
        <w:r>
          <w:rPr>
            <w:sz w:val="21"/>
          </w:rPr>
          <w:fldChar w:fldCharType="separate"/>
        </w:r>
        <w:r>
          <w:rPr>
            <w:sz w:val="21"/>
            <w:lang w:val="zh-CN"/>
          </w:rPr>
          <w:t>2</w:t>
        </w:r>
        <w:r>
          <w:rPr>
            <w:sz w:val="21"/>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D469D"/>
    <w:multiLevelType w:val="singleLevel"/>
    <w:tmpl w:val="115D469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D3"/>
    <w:rsid w:val="00007483"/>
    <w:rsid w:val="00063C5E"/>
    <w:rsid w:val="000738ED"/>
    <w:rsid w:val="0007525D"/>
    <w:rsid w:val="00080BBE"/>
    <w:rsid w:val="00081F6C"/>
    <w:rsid w:val="0008625F"/>
    <w:rsid w:val="00094674"/>
    <w:rsid w:val="00095450"/>
    <w:rsid w:val="000A35E7"/>
    <w:rsid w:val="000A5C66"/>
    <w:rsid w:val="000B0639"/>
    <w:rsid w:val="000B1970"/>
    <w:rsid w:val="000B1B70"/>
    <w:rsid w:val="000E2F4E"/>
    <w:rsid w:val="001168AA"/>
    <w:rsid w:val="001172CB"/>
    <w:rsid w:val="00123604"/>
    <w:rsid w:val="001331E4"/>
    <w:rsid w:val="001370D2"/>
    <w:rsid w:val="00145D05"/>
    <w:rsid w:val="0017321E"/>
    <w:rsid w:val="00176846"/>
    <w:rsid w:val="00177C3A"/>
    <w:rsid w:val="00183758"/>
    <w:rsid w:val="0019599F"/>
    <w:rsid w:val="001A2DFF"/>
    <w:rsid w:val="001A4D50"/>
    <w:rsid w:val="001F2485"/>
    <w:rsid w:val="00201F6E"/>
    <w:rsid w:val="00203FDC"/>
    <w:rsid w:val="0020512B"/>
    <w:rsid w:val="00217225"/>
    <w:rsid w:val="0022111C"/>
    <w:rsid w:val="00222024"/>
    <w:rsid w:val="00227988"/>
    <w:rsid w:val="002340F3"/>
    <w:rsid w:val="00260278"/>
    <w:rsid w:val="0026238A"/>
    <w:rsid w:val="00263599"/>
    <w:rsid w:val="0029164B"/>
    <w:rsid w:val="00295593"/>
    <w:rsid w:val="00296155"/>
    <w:rsid w:val="002A319E"/>
    <w:rsid w:val="002A7FB3"/>
    <w:rsid w:val="002D02FD"/>
    <w:rsid w:val="002D13CF"/>
    <w:rsid w:val="002F1300"/>
    <w:rsid w:val="002F64AC"/>
    <w:rsid w:val="00302B96"/>
    <w:rsid w:val="00305D92"/>
    <w:rsid w:val="00313924"/>
    <w:rsid w:val="0031745C"/>
    <w:rsid w:val="00321930"/>
    <w:rsid w:val="0034045C"/>
    <w:rsid w:val="00342BFC"/>
    <w:rsid w:val="00361830"/>
    <w:rsid w:val="00366B81"/>
    <w:rsid w:val="00367123"/>
    <w:rsid w:val="00380DF8"/>
    <w:rsid w:val="003C77D4"/>
    <w:rsid w:val="003C7B0A"/>
    <w:rsid w:val="003E1C68"/>
    <w:rsid w:val="003F131F"/>
    <w:rsid w:val="003F5C8A"/>
    <w:rsid w:val="00402FA0"/>
    <w:rsid w:val="0043092A"/>
    <w:rsid w:val="00441679"/>
    <w:rsid w:val="00451F15"/>
    <w:rsid w:val="00460575"/>
    <w:rsid w:val="00466A54"/>
    <w:rsid w:val="004A46B5"/>
    <w:rsid w:val="004D50C6"/>
    <w:rsid w:val="004E576C"/>
    <w:rsid w:val="004F2BA7"/>
    <w:rsid w:val="00502F0E"/>
    <w:rsid w:val="00504719"/>
    <w:rsid w:val="00522570"/>
    <w:rsid w:val="00527D6C"/>
    <w:rsid w:val="005321CC"/>
    <w:rsid w:val="00536A86"/>
    <w:rsid w:val="00550B1F"/>
    <w:rsid w:val="00552D4B"/>
    <w:rsid w:val="00577AD6"/>
    <w:rsid w:val="00584E68"/>
    <w:rsid w:val="00594001"/>
    <w:rsid w:val="005A2D5A"/>
    <w:rsid w:val="005C721F"/>
    <w:rsid w:val="005D20AE"/>
    <w:rsid w:val="005D6E70"/>
    <w:rsid w:val="005E646F"/>
    <w:rsid w:val="005F70C6"/>
    <w:rsid w:val="00615ED3"/>
    <w:rsid w:val="006201A8"/>
    <w:rsid w:val="00624CB6"/>
    <w:rsid w:val="00640516"/>
    <w:rsid w:val="00643D79"/>
    <w:rsid w:val="00646BE1"/>
    <w:rsid w:val="00655920"/>
    <w:rsid w:val="00657519"/>
    <w:rsid w:val="0067633F"/>
    <w:rsid w:val="00685854"/>
    <w:rsid w:val="006A5343"/>
    <w:rsid w:val="006B5C86"/>
    <w:rsid w:val="006C28A3"/>
    <w:rsid w:val="006D61D9"/>
    <w:rsid w:val="006F423D"/>
    <w:rsid w:val="006F702E"/>
    <w:rsid w:val="007165B0"/>
    <w:rsid w:val="007277A4"/>
    <w:rsid w:val="007306F7"/>
    <w:rsid w:val="007339A1"/>
    <w:rsid w:val="00734230"/>
    <w:rsid w:val="007425BD"/>
    <w:rsid w:val="007438C2"/>
    <w:rsid w:val="00747069"/>
    <w:rsid w:val="00754D2E"/>
    <w:rsid w:val="0077161F"/>
    <w:rsid w:val="00786CB0"/>
    <w:rsid w:val="0079265F"/>
    <w:rsid w:val="007A0B9D"/>
    <w:rsid w:val="007B40C9"/>
    <w:rsid w:val="007D0264"/>
    <w:rsid w:val="007D41F7"/>
    <w:rsid w:val="007E4B02"/>
    <w:rsid w:val="007F7F58"/>
    <w:rsid w:val="008022CF"/>
    <w:rsid w:val="00810D99"/>
    <w:rsid w:val="00817496"/>
    <w:rsid w:val="008260B6"/>
    <w:rsid w:val="008608C4"/>
    <w:rsid w:val="00893630"/>
    <w:rsid w:val="008B5696"/>
    <w:rsid w:val="008D2AB0"/>
    <w:rsid w:val="008D68AA"/>
    <w:rsid w:val="008E5862"/>
    <w:rsid w:val="008E7D14"/>
    <w:rsid w:val="008F33F2"/>
    <w:rsid w:val="00912DE0"/>
    <w:rsid w:val="00920BE4"/>
    <w:rsid w:val="00925964"/>
    <w:rsid w:val="00927C52"/>
    <w:rsid w:val="0093126C"/>
    <w:rsid w:val="009321FD"/>
    <w:rsid w:val="009A058A"/>
    <w:rsid w:val="009A068C"/>
    <w:rsid w:val="009B745A"/>
    <w:rsid w:val="009C23DC"/>
    <w:rsid w:val="009F4F83"/>
    <w:rsid w:val="00A1399A"/>
    <w:rsid w:val="00A15F31"/>
    <w:rsid w:val="00A23256"/>
    <w:rsid w:val="00A30622"/>
    <w:rsid w:val="00A369AB"/>
    <w:rsid w:val="00A47A52"/>
    <w:rsid w:val="00A523CD"/>
    <w:rsid w:val="00A5471F"/>
    <w:rsid w:val="00A64569"/>
    <w:rsid w:val="00A779D3"/>
    <w:rsid w:val="00AA7F76"/>
    <w:rsid w:val="00AB2161"/>
    <w:rsid w:val="00AC1BA4"/>
    <w:rsid w:val="00AC3484"/>
    <w:rsid w:val="00AC71C3"/>
    <w:rsid w:val="00AD5906"/>
    <w:rsid w:val="00AE6B7A"/>
    <w:rsid w:val="00B02453"/>
    <w:rsid w:val="00B12301"/>
    <w:rsid w:val="00B43811"/>
    <w:rsid w:val="00B5257D"/>
    <w:rsid w:val="00B66A2E"/>
    <w:rsid w:val="00B74684"/>
    <w:rsid w:val="00B85F58"/>
    <w:rsid w:val="00B86265"/>
    <w:rsid w:val="00B915AE"/>
    <w:rsid w:val="00B93E27"/>
    <w:rsid w:val="00B95B86"/>
    <w:rsid w:val="00BA17C3"/>
    <w:rsid w:val="00BB6721"/>
    <w:rsid w:val="00BC0FBE"/>
    <w:rsid w:val="00BC200A"/>
    <w:rsid w:val="00BD0976"/>
    <w:rsid w:val="00BE7212"/>
    <w:rsid w:val="00C02C60"/>
    <w:rsid w:val="00C14E5A"/>
    <w:rsid w:val="00C253F0"/>
    <w:rsid w:val="00C30387"/>
    <w:rsid w:val="00C3407E"/>
    <w:rsid w:val="00C72A30"/>
    <w:rsid w:val="00C75B61"/>
    <w:rsid w:val="00C86B41"/>
    <w:rsid w:val="00CA0A58"/>
    <w:rsid w:val="00CB704A"/>
    <w:rsid w:val="00CC305D"/>
    <w:rsid w:val="00CC4186"/>
    <w:rsid w:val="00CD342B"/>
    <w:rsid w:val="00CD77DD"/>
    <w:rsid w:val="00CE5256"/>
    <w:rsid w:val="00CF0A07"/>
    <w:rsid w:val="00CF2043"/>
    <w:rsid w:val="00CF4DDD"/>
    <w:rsid w:val="00D067BC"/>
    <w:rsid w:val="00D131B3"/>
    <w:rsid w:val="00D368FC"/>
    <w:rsid w:val="00D43062"/>
    <w:rsid w:val="00D51DE9"/>
    <w:rsid w:val="00D529B5"/>
    <w:rsid w:val="00D543A3"/>
    <w:rsid w:val="00D72EDB"/>
    <w:rsid w:val="00D7765A"/>
    <w:rsid w:val="00D81239"/>
    <w:rsid w:val="00D92AF1"/>
    <w:rsid w:val="00DA7996"/>
    <w:rsid w:val="00DB3C7C"/>
    <w:rsid w:val="00DB3D01"/>
    <w:rsid w:val="00DB5F7B"/>
    <w:rsid w:val="00DC2884"/>
    <w:rsid w:val="00DC64F6"/>
    <w:rsid w:val="00DE7314"/>
    <w:rsid w:val="00DF3D9F"/>
    <w:rsid w:val="00E038A7"/>
    <w:rsid w:val="00E2111A"/>
    <w:rsid w:val="00E46090"/>
    <w:rsid w:val="00E53FE1"/>
    <w:rsid w:val="00E56376"/>
    <w:rsid w:val="00E61573"/>
    <w:rsid w:val="00E6553F"/>
    <w:rsid w:val="00E73AD8"/>
    <w:rsid w:val="00E74D19"/>
    <w:rsid w:val="00E9233E"/>
    <w:rsid w:val="00E92571"/>
    <w:rsid w:val="00EC59AD"/>
    <w:rsid w:val="00ED18C4"/>
    <w:rsid w:val="00ED36E9"/>
    <w:rsid w:val="00ED4AA4"/>
    <w:rsid w:val="00ED6148"/>
    <w:rsid w:val="00ED61EE"/>
    <w:rsid w:val="00EE2A3C"/>
    <w:rsid w:val="00EF0B35"/>
    <w:rsid w:val="00F00C11"/>
    <w:rsid w:val="00F0205C"/>
    <w:rsid w:val="00F03622"/>
    <w:rsid w:val="00F1565E"/>
    <w:rsid w:val="00F219F5"/>
    <w:rsid w:val="00F21CCB"/>
    <w:rsid w:val="00F51066"/>
    <w:rsid w:val="00F52FCE"/>
    <w:rsid w:val="00F850FE"/>
    <w:rsid w:val="00FB1512"/>
    <w:rsid w:val="00FB3DDE"/>
    <w:rsid w:val="00FB583C"/>
    <w:rsid w:val="00FB7242"/>
    <w:rsid w:val="00FB7CF9"/>
    <w:rsid w:val="00FD5C91"/>
    <w:rsid w:val="00FE535C"/>
    <w:rsid w:val="01715896"/>
    <w:rsid w:val="02244474"/>
    <w:rsid w:val="025505CE"/>
    <w:rsid w:val="02CD04D0"/>
    <w:rsid w:val="03802C8E"/>
    <w:rsid w:val="03836915"/>
    <w:rsid w:val="04327685"/>
    <w:rsid w:val="04414D94"/>
    <w:rsid w:val="049A76A2"/>
    <w:rsid w:val="053C253D"/>
    <w:rsid w:val="056E0B59"/>
    <w:rsid w:val="05EA2CE0"/>
    <w:rsid w:val="07810A0A"/>
    <w:rsid w:val="07826587"/>
    <w:rsid w:val="07CB063A"/>
    <w:rsid w:val="083F1196"/>
    <w:rsid w:val="096A732C"/>
    <w:rsid w:val="096E19B7"/>
    <w:rsid w:val="0A4D2C5F"/>
    <w:rsid w:val="0A617BAC"/>
    <w:rsid w:val="0AA941BB"/>
    <w:rsid w:val="0AAD0AC9"/>
    <w:rsid w:val="0AC3667B"/>
    <w:rsid w:val="0B2550D3"/>
    <w:rsid w:val="0B6E372B"/>
    <w:rsid w:val="0BB21F20"/>
    <w:rsid w:val="0BEE3ADA"/>
    <w:rsid w:val="0C61072F"/>
    <w:rsid w:val="0DE66415"/>
    <w:rsid w:val="0EB12E5B"/>
    <w:rsid w:val="0ED36297"/>
    <w:rsid w:val="0F3C3623"/>
    <w:rsid w:val="0F4B0B8A"/>
    <w:rsid w:val="0F8A1A26"/>
    <w:rsid w:val="11687CF3"/>
    <w:rsid w:val="12C84BDA"/>
    <w:rsid w:val="13684344"/>
    <w:rsid w:val="13716B9C"/>
    <w:rsid w:val="1390160D"/>
    <w:rsid w:val="13BD72F4"/>
    <w:rsid w:val="147B2E3A"/>
    <w:rsid w:val="14B32B27"/>
    <w:rsid w:val="15705F43"/>
    <w:rsid w:val="159B5352"/>
    <w:rsid w:val="165D6467"/>
    <w:rsid w:val="16751506"/>
    <w:rsid w:val="17050639"/>
    <w:rsid w:val="18005360"/>
    <w:rsid w:val="18694EB5"/>
    <w:rsid w:val="19666D02"/>
    <w:rsid w:val="1A4A1800"/>
    <w:rsid w:val="1B2628F6"/>
    <w:rsid w:val="1B352116"/>
    <w:rsid w:val="1C8E3576"/>
    <w:rsid w:val="1D620CA4"/>
    <w:rsid w:val="1D8433A6"/>
    <w:rsid w:val="1DD22581"/>
    <w:rsid w:val="1E4533B9"/>
    <w:rsid w:val="1F8A3EBE"/>
    <w:rsid w:val="203C7ACE"/>
    <w:rsid w:val="208250F0"/>
    <w:rsid w:val="21083C51"/>
    <w:rsid w:val="216709D7"/>
    <w:rsid w:val="21DE6063"/>
    <w:rsid w:val="222B41FD"/>
    <w:rsid w:val="226E58E7"/>
    <w:rsid w:val="23CE16B5"/>
    <w:rsid w:val="23FE4AED"/>
    <w:rsid w:val="249047E2"/>
    <w:rsid w:val="25122FD0"/>
    <w:rsid w:val="251A3771"/>
    <w:rsid w:val="252372D1"/>
    <w:rsid w:val="252B3F6D"/>
    <w:rsid w:val="252C5888"/>
    <w:rsid w:val="26706A6F"/>
    <w:rsid w:val="26E144B8"/>
    <w:rsid w:val="26EB5A06"/>
    <w:rsid w:val="2796715B"/>
    <w:rsid w:val="29B8448B"/>
    <w:rsid w:val="2B4A7835"/>
    <w:rsid w:val="2C17443F"/>
    <w:rsid w:val="2D5D668A"/>
    <w:rsid w:val="2E690AF0"/>
    <w:rsid w:val="2EC11B2A"/>
    <w:rsid w:val="2F05747A"/>
    <w:rsid w:val="2F133FEC"/>
    <w:rsid w:val="30BD2736"/>
    <w:rsid w:val="324072F3"/>
    <w:rsid w:val="324650B8"/>
    <w:rsid w:val="32CA079E"/>
    <w:rsid w:val="333E5C6E"/>
    <w:rsid w:val="33962C17"/>
    <w:rsid w:val="33E3440D"/>
    <w:rsid w:val="340A6C0E"/>
    <w:rsid w:val="342026CB"/>
    <w:rsid w:val="34B03B4D"/>
    <w:rsid w:val="35DD7F1D"/>
    <w:rsid w:val="362A01B9"/>
    <w:rsid w:val="37147D39"/>
    <w:rsid w:val="396F4ACB"/>
    <w:rsid w:val="39A74552"/>
    <w:rsid w:val="3A205E59"/>
    <w:rsid w:val="3BF720BF"/>
    <w:rsid w:val="3C4C1C5D"/>
    <w:rsid w:val="3C9F592A"/>
    <w:rsid w:val="3CB649AE"/>
    <w:rsid w:val="3CBB62FD"/>
    <w:rsid w:val="3D4E6F2C"/>
    <w:rsid w:val="3DF56119"/>
    <w:rsid w:val="3E0C4653"/>
    <w:rsid w:val="3E122B66"/>
    <w:rsid w:val="3E3F3E5F"/>
    <w:rsid w:val="3E78428D"/>
    <w:rsid w:val="3EBA32D9"/>
    <w:rsid w:val="3FAC6F05"/>
    <w:rsid w:val="412C5804"/>
    <w:rsid w:val="412F11B6"/>
    <w:rsid w:val="418A2B7D"/>
    <w:rsid w:val="42CA4A18"/>
    <w:rsid w:val="4364676D"/>
    <w:rsid w:val="43867743"/>
    <w:rsid w:val="44517D64"/>
    <w:rsid w:val="446F76FD"/>
    <w:rsid w:val="448D78C2"/>
    <w:rsid w:val="46540941"/>
    <w:rsid w:val="467B1037"/>
    <w:rsid w:val="46DA68E6"/>
    <w:rsid w:val="47B008D7"/>
    <w:rsid w:val="47F0374C"/>
    <w:rsid w:val="48470256"/>
    <w:rsid w:val="48AE4687"/>
    <w:rsid w:val="49515120"/>
    <w:rsid w:val="4996266F"/>
    <w:rsid w:val="49A422FF"/>
    <w:rsid w:val="49EB56C3"/>
    <w:rsid w:val="4A9A1F9D"/>
    <w:rsid w:val="4AB8415F"/>
    <w:rsid w:val="4CB0311F"/>
    <w:rsid w:val="4CCD6D47"/>
    <w:rsid w:val="4D6454BB"/>
    <w:rsid w:val="4D943273"/>
    <w:rsid w:val="4D956188"/>
    <w:rsid w:val="4D967F9E"/>
    <w:rsid w:val="4DD23883"/>
    <w:rsid w:val="4DEC16D7"/>
    <w:rsid w:val="4F0535ED"/>
    <w:rsid w:val="507B463C"/>
    <w:rsid w:val="511E040E"/>
    <w:rsid w:val="51792FB0"/>
    <w:rsid w:val="52CD2D71"/>
    <w:rsid w:val="531255E0"/>
    <w:rsid w:val="552C1C95"/>
    <w:rsid w:val="556C200E"/>
    <w:rsid w:val="55DC0B73"/>
    <w:rsid w:val="567E7C84"/>
    <w:rsid w:val="56CB6ECE"/>
    <w:rsid w:val="574708DE"/>
    <w:rsid w:val="57747510"/>
    <w:rsid w:val="582A790D"/>
    <w:rsid w:val="58A318D1"/>
    <w:rsid w:val="5A116839"/>
    <w:rsid w:val="5B0D29E6"/>
    <w:rsid w:val="5B633335"/>
    <w:rsid w:val="5C361E24"/>
    <w:rsid w:val="5E38613D"/>
    <w:rsid w:val="5E8E3CF4"/>
    <w:rsid w:val="5F760B69"/>
    <w:rsid w:val="60120341"/>
    <w:rsid w:val="602D34F2"/>
    <w:rsid w:val="60877D5A"/>
    <w:rsid w:val="62402662"/>
    <w:rsid w:val="62974818"/>
    <w:rsid w:val="62BE4356"/>
    <w:rsid w:val="62DC6268"/>
    <w:rsid w:val="636623B1"/>
    <w:rsid w:val="636A62ED"/>
    <w:rsid w:val="63C46701"/>
    <w:rsid w:val="63D156E4"/>
    <w:rsid w:val="63ED672C"/>
    <w:rsid w:val="64291FBD"/>
    <w:rsid w:val="650F7541"/>
    <w:rsid w:val="654307F1"/>
    <w:rsid w:val="65D14D59"/>
    <w:rsid w:val="66A36D1C"/>
    <w:rsid w:val="66CE67F1"/>
    <w:rsid w:val="66E32587"/>
    <w:rsid w:val="66FC1B2B"/>
    <w:rsid w:val="670935F2"/>
    <w:rsid w:val="672A03BC"/>
    <w:rsid w:val="678D66DA"/>
    <w:rsid w:val="69277699"/>
    <w:rsid w:val="6961338B"/>
    <w:rsid w:val="6A4A5420"/>
    <w:rsid w:val="6A5C0F57"/>
    <w:rsid w:val="6ACE6EE9"/>
    <w:rsid w:val="6BAC57F8"/>
    <w:rsid w:val="6BD6019F"/>
    <w:rsid w:val="6BE262FD"/>
    <w:rsid w:val="6CB929DE"/>
    <w:rsid w:val="6CBB52AF"/>
    <w:rsid w:val="6CDD3A62"/>
    <w:rsid w:val="6CE70148"/>
    <w:rsid w:val="6D7C3AEF"/>
    <w:rsid w:val="6D834C4E"/>
    <w:rsid w:val="6DFE6A49"/>
    <w:rsid w:val="6E14184B"/>
    <w:rsid w:val="6F065EC2"/>
    <w:rsid w:val="6F8E6B52"/>
    <w:rsid w:val="700020A6"/>
    <w:rsid w:val="70AD357D"/>
    <w:rsid w:val="71014894"/>
    <w:rsid w:val="711E06FD"/>
    <w:rsid w:val="71784AA6"/>
    <w:rsid w:val="71F63299"/>
    <w:rsid w:val="727D250C"/>
    <w:rsid w:val="72984D19"/>
    <w:rsid w:val="73181A60"/>
    <w:rsid w:val="73C30FD7"/>
    <w:rsid w:val="752F7B8E"/>
    <w:rsid w:val="7539630F"/>
    <w:rsid w:val="758D599B"/>
    <w:rsid w:val="76C863D4"/>
    <w:rsid w:val="778B25C4"/>
    <w:rsid w:val="78260E0A"/>
    <w:rsid w:val="78FF70C2"/>
    <w:rsid w:val="793C75C1"/>
    <w:rsid w:val="79E839B6"/>
    <w:rsid w:val="7A2D56CE"/>
    <w:rsid w:val="7A327A88"/>
    <w:rsid w:val="7A430285"/>
    <w:rsid w:val="7AAF70BA"/>
    <w:rsid w:val="7B5E4EDF"/>
    <w:rsid w:val="7B766407"/>
    <w:rsid w:val="7BDD772F"/>
    <w:rsid w:val="7C1F3184"/>
    <w:rsid w:val="7CF9664F"/>
    <w:rsid w:val="7D1500B1"/>
    <w:rsid w:val="7D55727F"/>
    <w:rsid w:val="7D660697"/>
    <w:rsid w:val="7E0E7692"/>
    <w:rsid w:val="7E867424"/>
    <w:rsid w:val="7FAF4C31"/>
    <w:rsid w:val="7FB15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0"/>
    <w:pPr>
      <w:jc w:val="left"/>
    </w:pPr>
  </w:style>
  <w:style w:type="paragraph" w:styleId="4">
    <w:name w:val="Balloon Text"/>
    <w:basedOn w:val="1"/>
    <w:link w:val="18"/>
    <w:unhideWhenUsed/>
    <w:qFormat/>
    <w:uiPriority w:val="0"/>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0"/>
    <w:semiHidden/>
    <w:unhideWhenUsed/>
    <w:qFormat/>
    <w:uiPriority w:val="0"/>
    <w:rPr>
      <w:b/>
      <w:bCs/>
    </w:rPr>
  </w:style>
  <w:style w:type="table" w:styleId="9">
    <w:name w:val="Table Grid"/>
    <w:basedOn w:val="8"/>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unhideWhenUsed/>
    <w:qFormat/>
    <w:uiPriority w:val="99"/>
    <w:rPr>
      <w:color w:val="800080"/>
      <w:u w:val="single"/>
    </w:rPr>
  </w:style>
  <w:style w:type="character" w:styleId="12">
    <w:name w:val="Hyperlink"/>
    <w:unhideWhenUsed/>
    <w:qFormat/>
    <w:uiPriority w:val="99"/>
    <w:rPr>
      <w:color w:val="0000FF"/>
      <w:u w:val="single"/>
    </w:rPr>
  </w:style>
  <w:style w:type="character" w:styleId="13">
    <w:name w:val="annotation reference"/>
    <w:basedOn w:val="10"/>
    <w:semiHidden/>
    <w:unhideWhenUsed/>
    <w:qFormat/>
    <w:uiPriority w:val="0"/>
    <w:rPr>
      <w:sz w:val="21"/>
      <w:szCs w:val="21"/>
    </w:rPr>
  </w:style>
  <w:style w:type="paragraph" w:customStyle="1" w:styleId="14">
    <w:name w:val="列出段落1"/>
    <w:basedOn w:val="1"/>
    <w:qFormat/>
    <w:uiPriority w:val="34"/>
    <w:pPr>
      <w:ind w:firstLine="420" w:firstLineChars="200"/>
    </w:pPr>
  </w:style>
  <w:style w:type="character" w:customStyle="1" w:styleId="15">
    <w:name w:val="页眉 字符"/>
    <w:link w:val="6"/>
    <w:qFormat/>
    <w:uiPriority w:val="99"/>
    <w:rPr>
      <w:sz w:val="18"/>
      <w:szCs w:val="18"/>
    </w:rPr>
  </w:style>
  <w:style w:type="character" w:customStyle="1" w:styleId="16">
    <w:name w:val="页脚 字符"/>
    <w:link w:val="5"/>
    <w:qFormat/>
    <w:uiPriority w:val="99"/>
    <w:rPr>
      <w:sz w:val="18"/>
      <w:szCs w:val="18"/>
    </w:rPr>
  </w:style>
  <w:style w:type="character" w:customStyle="1" w:styleId="17">
    <w:name w:val="标题 1 字符"/>
    <w:link w:val="2"/>
    <w:qFormat/>
    <w:uiPriority w:val="9"/>
    <w:rPr>
      <w:rFonts w:ascii="宋体" w:hAnsi="宋体" w:eastAsia="宋体" w:cs="宋体"/>
      <w:b/>
      <w:bCs/>
      <w:kern w:val="36"/>
      <w:sz w:val="48"/>
      <w:szCs w:val="48"/>
    </w:rPr>
  </w:style>
  <w:style w:type="character" w:customStyle="1" w:styleId="18">
    <w:name w:val="批注框文本 字符"/>
    <w:link w:val="4"/>
    <w:semiHidden/>
    <w:qFormat/>
    <w:uiPriority w:val="0"/>
    <w:rPr>
      <w:kern w:val="2"/>
      <w:sz w:val="18"/>
      <w:szCs w:val="18"/>
    </w:rPr>
  </w:style>
  <w:style w:type="character" w:customStyle="1" w:styleId="19">
    <w:name w:val="批注文字 字符"/>
    <w:basedOn w:val="10"/>
    <w:link w:val="3"/>
    <w:semiHidden/>
    <w:qFormat/>
    <w:uiPriority w:val="0"/>
    <w:rPr>
      <w:kern w:val="2"/>
      <w:sz w:val="21"/>
      <w:szCs w:val="24"/>
    </w:rPr>
  </w:style>
  <w:style w:type="character" w:customStyle="1" w:styleId="20">
    <w:name w:val="批注主题 字符"/>
    <w:basedOn w:val="19"/>
    <w:link w:val="7"/>
    <w:semiHidden/>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24860-E359-40A4-9F00-B311B9241BD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484</Words>
  <Characters>2761</Characters>
  <Lines>23</Lines>
  <Paragraphs>6</Paragraphs>
  <TotalTime>0</TotalTime>
  <ScaleCrop>false</ScaleCrop>
  <LinksUpToDate>false</LinksUpToDate>
  <CharactersWithSpaces>3239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2020-05-14T03:46:00Z</dcterms:created>
  <dc:creator>USER</dc:creator>
  <cp:lastModifiedBy>acer</cp:lastModifiedBy>
  <cp:lastPrinted>2020-05-05T02:24:00Z</cp:lastPrinted>
  <dcterms:modified xsi:type="dcterms:W3CDTF">2020-05-14T14:40:56Z</dcterms:modified>
  <dc:title>中山大学（招生院系）2014年硕士研究生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