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40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>浙江师范大学硕士研究生入学考试初试科目</w:t>
      </w:r>
      <w:r>
        <w:rPr>
          <w:rFonts w:ascii="黑体" w:eastAsia="黑体"/>
          <w:b/>
          <w:sz w:val="32"/>
          <w:szCs w:val="32"/>
        </w:rPr>
        <w:br w:type="textWrapping"/>
      </w:r>
      <w:r>
        <w:rPr>
          <w:rFonts w:hint="eastAsia" w:ascii="黑体" w:eastAsia="黑体"/>
          <w:b/>
          <w:sz w:val="32"/>
          <w:szCs w:val="32"/>
        </w:rPr>
        <w:t>考　试　大　纲</w:t>
      </w:r>
    </w:p>
    <w:tbl>
      <w:tblPr>
        <w:tblStyle w:val="5"/>
        <w:tblW w:w="8460" w:type="dxa"/>
        <w:tblInd w:w="10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540"/>
        <w:gridCol w:w="6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620" w:type="dxa"/>
            <w:gridSpan w:val="2"/>
            <w:vAlign w:val="bottom"/>
          </w:tcPr>
          <w:p>
            <w:pPr>
              <w:spacing w:after="46" w:afterLines="15"/>
              <w:ind w:left="-105" w:leftChars="-50" w:right="-105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科目代码、名称:</w:t>
            </w:r>
          </w:p>
        </w:tc>
        <w:tc>
          <w:tcPr>
            <w:tcW w:w="6840" w:type="dxa"/>
            <w:tcBorders>
              <w:bottom w:val="single" w:color="auto" w:sz="4" w:space="0"/>
            </w:tcBorders>
            <w:vAlign w:val="bottom"/>
          </w:tcPr>
          <w:p>
            <w:pPr>
              <w:pStyle w:val="2"/>
              <w:spacing w:before="78" w:beforeLines="25" w:after="31" w:afterLines="10" w:line="24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  <w:r>
              <w:rPr>
                <w:sz w:val="21"/>
                <w:szCs w:val="21"/>
              </w:rPr>
              <w:t>37</w:t>
            </w:r>
            <w:r>
              <w:rPr>
                <w:rFonts w:hint="eastAsia"/>
                <w:sz w:val="21"/>
                <w:szCs w:val="21"/>
              </w:rPr>
              <w:t>音乐文献与</w:t>
            </w:r>
            <w:r>
              <w:rPr>
                <w:rFonts w:hint="eastAsia"/>
                <w:sz w:val="21"/>
                <w:szCs w:val="21"/>
                <w:lang w:eastAsia="zh-CN"/>
              </w:rPr>
              <w:t>文论</w:t>
            </w:r>
            <w:r>
              <w:rPr>
                <w:rFonts w:hint="eastAsia"/>
                <w:sz w:val="21"/>
                <w:szCs w:val="21"/>
              </w:rPr>
              <w:t>写作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080" w:type="dxa"/>
            <w:vAlign w:val="bottom"/>
          </w:tcPr>
          <w:p>
            <w:pPr>
              <w:spacing w:after="62" w:afterLines="20"/>
              <w:ind w:left="-105" w:leftChars="-50" w:right="-105" w:rightChars="-5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适用专业:</w:t>
            </w:r>
          </w:p>
        </w:tc>
        <w:tc>
          <w:tcPr>
            <w:tcW w:w="7380" w:type="dxa"/>
            <w:gridSpan w:val="2"/>
            <w:tcBorders>
              <w:bottom w:val="single" w:color="auto" w:sz="4" w:space="0"/>
            </w:tcBorders>
            <w:vAlign w:val="bottom"/>
          </w:tcPr>
          <w:p>
            <w:pPr>
              <w:spacing w:before="78" w:beforeLines="25" w:after="31" w:afterLines="10"/>
              <w:rPr>
                <w:rFonts w:ascii="宋体" w:hAnsi="宋体"/>
                <w:b/>
                <w:szCs w:val="21"/>
              </w:rPr>
            </w:pPr>
            <w:bookmarkStart w:id="0" w:name="_Toc271379979"/>
            <w:r>
              <w:rPr>
                <w:b/>
                <w:bCs/>
                <w:color w:val="000000"/>
              </w:rPr>
              <w:t>130200</w:t>
            </w:r>
            <w:r>
              <w:rPr>
                <w:rFonts w:hint="eastAsia"/>
                <w:b/>
                <w:bCs/>
                <w:color w:val="000000"/>
              </w:rPr>
              <w:t>音乐与舞蹈学、1</w:t>
            </w:r>
            <w:r>
              <w:rPr>
                <w:b/>
                <w:bCs/>
                <w:color w:val="000000"/>
              </w:rPr>
              <w:t>35101音乐</w:t>
            </w:r>
            <w:bookmarkEnd w:id="0"/>
          </w:p>
        </w:tc>
      </w:tr>
    </w:tbl>
    <w:p>
      <w:pPr>
        <w:spacing w:before="312" w:beforeLines="10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一、考试形式与试卷结构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/>
          <w:b/>
          <w:szCs w:val="21"/>
        </w:rPr>
        <w:t>（一）试卷满分 及 考试时间</w:t>
      </w:r>
    </w:p>
    <w:p>
      <w:pPr>
        <w:pStyle w:val="9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本试卷满分为150分，考试时间为180分钟。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（二）答题方式</w:t>
      </w:r>
      <w:bookmarkStart w:id="1" w:name="_GoBack"/>
      <w:bookmarkEnd w:id="1"/>
    </w:p>
    <w:p>
      <w:pPr>
        <w:pStyle w:val="9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答题方式为闭卷、笔试。</w:t>
      </w:r>
    </w:p>
    <w:p>
      <w:pPr>
        <w:pStyle w:val="9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试卷由试题和答题纸组成；答案必须写在答题纸（由考点提供）相应的位置上。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（三）试卷题型结构</w:t>
      </w:r>
    </w:p>
    <w:p>
      <w:pPr>
        <w:pStyle w:val="9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  <w:r>
        <w:rPr>
          <w:rFonts w:hint="eastAsia"/>
        </w:rPr>
        <w:t>名</w:t>
      </w:r>
      <w:r>
        <w:rPr>
          <w:rFonts w:hint="eastAsia" w:ascii="新宋体" w:hAnsi="新宋体" w:eastAsia="新宋体"/>
          <w:szCs w:val="21"/>
        </w:rPr>
        <w:t>词解释、简答题、论文写作等。</w:t>
      </w:r>
    </w:p>
    <w:p>
      <w:pPr>
        <w:spacing w:before="156" w:beforeLines="5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二、考查目标（复习要求）</w:t>
      </w:r>
    </w:p>
    <w:p>
      <w:pPr>
        <w:spacing w:before="31" w:beforeLines="10" w:after="31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本科目主要考查音乐文献和论文写作的基本知识和基本技能，其中，论文写作部分要求在规定时间内完成一篇立意明确、思路清晰、结构完整、逻辑合理、形式规范、文字畅达的音乐学论文，字数不少于3</w:t>
      </w:r>
      <w:r>
        <w:rPr>
          <w:rFonts w:ascii="新宋体" w:hAnsi="新宋体" w:eastAsia="新宋体"/>
          <w:szCs w:val="21"/>
        </w:rPr>
        <w:t>000</w:t>
      </w:r>
      <w:r>
        <w:rPr>
          <w:rFonts w:hint="eastAsia" w:ascii="新宋体" w:hAnsi="新宋体" w:eastAsia="新宋体"/>
          <w:szCs w:val="21"/>
        </w:rPr>
        <w:t>字。</w:t>
      </w:r>
    </w:p>
    <w:p>
      <w:pPr>
        <w:spacing w:before="156" w:beforeLines="50" w:after="31" w:afterLines="10" w:line="288" w:lineRule="auto"/>
        <w:rPr>
          <w:b/>
          <w:szCs w:val="21"/>
        </w:rPr>
      </w:pPr>
      <w:r>
        <w:rPr>
          <w:rFonts w:hint="eastAsia"/>
          <w:b/>
          <w:szCs w:val="21"/>
        </w:rPr>
        <w:t>三、考查范围或考试内容概要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音乐文献</w:t>
      </w:r>
      <w:r>
        <w:rPr>
          <w:rFonts w:hint="eastAsia"/>
          <w:b/>
          <w:szCs w:val="21"/>
        </w:rPr>
        <w:t>考查范围</w:t>
      </w:r>
      <w:r>
        <w:rPr>
          <w:rFonts w:hint="eastAsia" w:ascii="新宋体" w:hAnsi="新宋体" w:eastAsia="新宋体"/>
          <w:b/>
          <w:szCs w:val="21"/>
        </w:rPr>
        <w:t>：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（一）绪论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</w:t>
      </w:r>
      <w:r>
        <w:rPr>
          <w:rFonts w:ascii="新宋体" w:hAnsi="新宋体" w:eastAsia="新宋体"/>
          <w:szCs w:val="21"/>
        </w:rPr>
        <w:t>.</w:t>
      </w:r>
      <w:r>
        <w:rPr>
          <w:rFonts w:hint="eastAsia" w:ascii="新宋体" w:hAnsi="新宋体" w:eastAsia="新宋体"/>
          <w:szCs w:val="21"/>
        </w:rPr>
        <w:t>音乐文献概论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</w:t>
      </w:r>
      <w:r>
        <w:rPr>
          <w:rFonts w:ascii="新宋体" w:hAnsi="新宋体" w:eastAsia="新宋体"/>
          <w:szCs w:val="21"/>
        </w:rPr>
        <w:t>.</w:t>
      </w:r>
      <w:r>
        <w:rPr>
          <w:rFonts w:hint="eastAsia" w:ascii="新宋体" w:hAnsi="新宋体" w:eastAsia="新宋体"/>
          <w:szCs w:val="21"/>
        </w:rPr>
        <w:t>音乐文献学及研究对象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</w:t>
      </w:r>
      <w:r>
        <w:rPr>
          <w:rFonts w:ascii="新宋体" w:hAnsi="新宋体" w:eastAsia="新宋体"/>
          <w:szCs w:val="21"/>
        </w:rPr>
        <w:t>.</w:t>
      </w:r>
      <w:r>
        <w:rPr>
          <w:rFonts w:hint="eastAsia" w:ascii="新宋体" w:hAnsi="新宋体" w:eastAsia="新宋体"/>
          <w:szCs w:val="21"/>
        </w:rPr>
        <w:t>音乐文献学的学科定位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</w:t>
      </w:r>
      <w:r>
        <w:rPr>
          <w:rFonts w:ascii="新宋体" w:hAnsi="新宋体" w:eastAsia="新宋体"/>
          <w:szCs w:val="21"/>
        </w:rPr>
        <w:t>.</w:t>
      </w:r>
      <w:r>
        <w:rPr>
          <w:rFonts w:hint="eastAsia" w:ascii="新宋体" w:hAnsi="新宋体" w:eastAsia="新宋体"/>
          <w:szCs w:val="21"/>
        </w:rPr>
        <w:t>中国音乐文献的历史回顾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</w:t>
      </w:r>
      <w:r>
        <w:rPr>
          <w:rFonts w:ascii="新宋体" w:hAnsi="新宋体" w:eastAsia="新宋体"/>
          <w:szCs w:val="21"/>
        </w:rPr>
        <w:t>.</w:t>
      </w:r>
      <w:r>
        <w:rPr>
          <w:rFonts w:hint="eastAsia" w:ascii="新宋体" w:hAnsi="新宋体" w:eastAsia="新宋体"/>
          <w:szCs w:val="21"/>
        </w:rPr>
        <w:t>音乐文献学的功用和学习方法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（二）音乐文献的目录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1.目录的体制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2.中国音乐文献目录的发展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3.音乐文献目录学的功用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（三）音乐文献的版本与校勘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1.版本学的产生与研究对象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2.版本的类型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3.版本的鉴定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4.版本学的作用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5.文献错讹的类型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6.校勘的主要方法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7.与校勘有关的问题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（四）二十六史乐志、律志和艺文志中的音乐文献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1.二十六史及乐志、律志和艺文志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2.《史记》中的《乐书》和《律书》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3.《汉书》中的《乐志》和《艺文志》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4.《宋书》中的《乐志》和《律历志》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5.《隋书》中的《音乐志》、《律历志》和《经籍志》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6.《旧唐书》中的《音乐志》和《新唐书》中的《艺文志》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7.《元史》中的《礼乐志》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（五）会要会典中的音乐文献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1.会要会典的纂修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2.《七国考》中的“音乐”门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3.《西汉会要》中的“乐”门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4.《三国会要》中的“乐”门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5.《唐会要》中的“乐类”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6.《宋会要辑稿》中的“乐”门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7.光绪《大清会典事例》中的“乐部”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（六）《十通》中的音乐文献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1.《十通》简介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2.《通典》、《续通典》、《清通典》中的乐典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3.《通志》、《续通志》、《清通志》中的乐略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4.《文献通考》、《续文献通考》、《清文献通考》、《清续文献通考》中的乐考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（七）类书中的音乐文献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1.类书的编纂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2.《北堂书钞》中的音乐文献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3.《艺文类聚》中的音乐文献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4.《初学记》中的音乐文献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5.《太平御览》中的音乐文献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6.《古今图书集成》中的音乐文献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（八）古代音乐著作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1.古代音乐著作概况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2.《乐府杂录》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3.《琴史》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4.《乐书》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5.《乐律全书》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6.《律吕正义》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（九）古代著述中的音乐篇章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1.概述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2.《周礼》中的《春官宗伯·大司乐》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3.《吕氏春秋》中的《古乐篇》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4.《礼记》中的《乐记》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5.《梦溪笔谈》中的《乐律》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6.《闲情偶寄》中的戏曲音乐篇章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（十）近现代音乐著作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1.近现代音乐著作概况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2.《东西乐制之研究》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3.《音乐通论》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4.《中国古代音乐史稿》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5.《溯流探源——中国传统音乐研究》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6.《民族民间音乐概论》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7.《律学》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8.《中国音乐文物大系》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（十一）乐谱类文献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1.乐谱类文献概况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2.《白石道人歌曲》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3.《瑟谱》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4.《魏氏乐谱》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5.《九宫大成南北词宫谱》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6.《中国民间歌曲集成》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7.《中国民族民间器乐曲集成》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8.《中国戏曲音乐集成》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9.《中国曲艺音乐集成》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（十二）报刊类音乐文献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1.报刊类音乐文献概况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2.研究性音乐期刊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3.普及性音乐期刊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4.乐谱类期刊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5.音乐报纸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6.非音乐专业报刊中的音乐文献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（十三）佛教道教音乐文献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1.汉传佛教音乐概述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2.汉文大藏经中的音乐史料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3.《中国民族民间器乐曲集成》中的佛教音乐文献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4.道教音乐概述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5.《道藏》中的音乐史料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6.《中国民族民间器乐曲集成》中的道教音乐文献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（十四）使用与音乐学相关的工具书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1.从丛书中查找与音乐相关的书籍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2.从一般工具书中查找与音乐相关的字词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3.从索引、引得、通检中查找与音乐相关的资料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4.从音乐工具书中查找有关资料</w:t>
      </w: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（十五）机读型音乐文献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1.蜡质、胶质音乐文献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2.磁质音乐文献</w:t>
      </w:r>
    </w:p>
    <w:p>
      <w:pPr>
        <w:spacing w:before="31" w:beforeLines="10" w:after="31" w:afterLines="10" w:line="288" w:lineRule="auto"/>
        <w:ind w:firstLine="420" w:firstLineChars="200"/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3.光质音乐文献</w:t>
      </w:r>
    </w:p>
    <w:p>
      <w:pPr>
        <w:spacing w:before="31" w:beforeLines="10" w:after="31" w:afterLines="10" w:line="288" w:lineRule="auto"/>
        <w:ind w:firstLine="420" w:firstLineChars="200"/>
        <w:rPr>
          <w:rFonts w:hint="eastAsia" w:ascii="新宋体" w:hAnsi="新宋体" w:eastAsia="新宋体"/>
          <w:szCs w:val="21"/>
        </w:rPr>
      </w:pPr>
    </w:p>
    <w:p>
      <w:pPr>
        <w:pStyle w:val="9"/>
        <w:spacing w:before="31" w:beforeLines="10" w:after="31" w:afterLines="10" w:line="288" w:lineRule="auto"/>
        <w:ind w:firstLine="422"/>
        <w:rPr>
          <w:rFonts w:hint="eastAsia" w:ascii="新宋体" w:hAnsi="新宋体" w:eastAsia="新宋体"/>
          <w:szCs w:val="21"/>
        </w:rPr>
      </w:pPr>
      <w:r>
        <w:rPr>
          <w:rFonts w:hint="eastAsia" w:ascii="新宋体" w:hAnsi="新宋体" w:eastAsia="新宋体"/>
          <w:b/>
          <w:szCs w:val="21"/>
        </w:rPr>
        <w:t>音乐论文写作</w:t>
      </w:r>
      <w:r>
        <w:rPr>
          <w:rFonts w:hint="eastAsia"/>
          <w:b/>
          <w:szCs w:val="21"/>
        </w:rPr>
        <w:t>考查范围</w:t>
      </w:r>
      <w:r>
        <w:rPr>
          <w:rFonts w:hint="eastAsia" w:ascii="新宋体" w:hAnsi="新宋体" w:eastAsia="新宋体"/>
          <w:b/>
          <w:szCs w:val="21"/>
        </w:rPr>
        <w:t>：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ascii="新宋体" w:hAnsi="新宋体" w:eastAsia="新宋体"/>
          <w:b/>
          <w:szCs w:val="21"/>
        </w:rPr>
        <w:t>（一）</w:t>
      </w:r>
      <w:r>
        <w:rPr>
          <w:rFonts w:hint="eastAsia" w:ascii="新宋体" w:hAnsi="新宋体" w:eastAsia="新宋体"/>
          <w:b/>
          <w:szCs w:val="21"/>
        </w:rPr>
        <w:t>音乐学的学科定位与基本范畴</w:t>
      </w:r>
    </w:p>
    <w:p>
      <w:pPr>
        <w:pStyle w:val="9"/>
        <w:spacing w:before="31" w:beforeLines="10" w:after="31" w:afterLines="10" w:line="288" w:lineRule="auto"/>
      </w:pPr>
      <w:r>
        <w:t>1.</w:t>
      </w:r>
      <w:r>
        <w:rPr>
          <w:rFonts w:hint="eastAsia"/>
        </w:rPr>
        <w:t>音乐学在人文社科体系中的学科定位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音乐学的基本范畴</w:t>
      </w:r>
    </w:p>
    <w:p>
      <w:pPr>
        <w:pStyle w:val="9"/>
        <w:spacing w:before="31" w:beforeLines="10" w:after="31" w:afterLines="10" w:line="288" w:lineRule="auto"/>
        <w:rPr>
          <w:rFonts w:hint="eastAsia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音乐学学科范畴内的学科交叉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（二）音乐学文论的体裁</w:t>
      </w:r>
    </w:p>
    <w:p>
      <w:pPr>
        <w:pStyle w:val="9"/>
        <w:spacing w:before="31" w:beforeLines="10" w:after="31" w:afterLines="10" w:line="288" w:lineRule="auto"/>
      </w:pPr>
      <w:r>
        <w:t>1.</w:t>
      </w:r>
      <w:r>
        <w:rPr>
          <w:rFonts w:hint="eastAsia"/>
        </w:rPr>
        <w:t>学术专著</w:t>
      </w:r>
    </w:p>
    <w:p>
      <w:pPr>
        <w:pStyle w:val="9"/>
        <w:spacing w:before="31" w:beforeLines="10" w:after="31" w:afterLines="10" w:line="288" w:lineRule="auto"/>
      </w:pPr>
      <w:r>
        <w:t>2.</w:t>
      </w:r>
      <w:r>
        <w:rPr>
          <w:rFonts w:hint="eastAsia"/>
        </w:rPr>
        <w:t>文集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学位论文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学术论文</w:t>
      </w:r>
    </w:p>
    <w:p>
      <w:pPr>
        <w:pStyle w:val="9"/>
        <w:spacing w:before="31" w:beforeLines="10" w:after="31" w:afterLines="10" w:line="288" w:lineRule="auto"/>
      </w:pPr>
      <w:r>
        <w:t>5.</w:t>
      </w:r>
      <w:r>
        <w:rPr>
          <w:rFonts w:hint="eastAsia"/>
        </w:rPr>
        <w:t>工具书</w:t>
      </w:r>
    </w:p>
    <w:p>
      <w:pPr>
        <w:pStyle w:val="9"/>
        <w:spacing w:before="31" w:beforeLines="10" w:after="31" w:afterLines="10" w:line="288" w:lineRule="auto"/>
      </w:pPr>
      <w:r>
        <w:t>6.</w:t>
      </w:r>
      <w:r>
        <w:rPr>
          <w:rFonts w:hint="eastAsia"/>
        </w:rPr>
        <w:t>调查报告</w:t>
      </w:r>
    </w:p>
    <w:p>
      <w:pPr>
        <w:pStyle w:val="9"/>
        <w:spacing w:before="31" w:beforeLines="10" w:after="31" w:afterLines="10" w:line="288" w:lineRule="auto"/>
      </w:pPr>
      <w:r>
        <w:t>7.</w:t>
      </w:r>
      <w:r>
        <w:rPr>
          <w:rFonts w:hint="eastAsia"/>
        </w:rPr>
        <w:t>音乐家传记、年表、年谱</w:t>
      </w:r>
    </w:p>
    <w:p>
      <w:pPr>
        <w:pStyle w:val="9"/>
        <w:spacing w:before="31" w:beforeLines="10" w:after="31" w:afterLines="10" w:line="288" w:lineRule="auto"/>
      </w:pPr>
      <w:r>
        <w:t>8.</w:t>
      </w:r>
      <w:r>
        <w:rPr>
          <w:rFonts w:hint="eastAsia"/>
        </w:rPr>
        <w:t>综述、述评、评述</w:t>
      </w:r>
    </w:p>
    <w:p>
      <w:pPr>
        <w:pStyle w:val="9"/>
        <w:spacing w:before="31" w:beforeLines="10" w:after="31" w:afterLines="10" w:line="288" w:lineRule="auto"/>
      </w:pPr>
      <w:r>
        <w:t>9.</w:t>
      </w:r>
      <w:r>
        <w:rPr>
          <w:rFonts w:hint="eastAsia"/>
        </w:rPr>
        <w:t>音乐散文</w:t>
      </w:r>
    </w:p>
    <w:p>
      <w:pPr>
        <w:pStyle w:val="9"/>
        <w:spacing w:before="31" w:beforeLines="10" w:after="31" w:afterLines="10" w:line="288" w:lineRule="auto"/>
      </w:pPr>
      <w:r>
        <w:t>10.</w:t>
      </w:r>
      <w:r>
        <w:rPr>
          <w:rFonts w:hint="eastAsia"/>
        </w:rPr>
        <w:t>音乐杂文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ascii="新宋体" w:hAnsi="新宋体" w:eastAsia="新宋体"/>
          <w:b/>
          <w:szCs w:val="21"/>
        </w:rPr>
        <w:t>（</w:t>
      </w:r>
      <w:r>
        <w:rPr>
          <w:rFonts w:hint="eastAsia" w:ascii="新宋体" w:hAnsi="新宋体" w:eastAsia="新宋体"/>
          <w:b/>
          <w:szCs w:val="21"/>
        </w:rPr>
        <w:t>三</w:t>
      </w:r>
      <w:r>
        <w:rPr>
          <w:rFonts w:ascii="新宋体" w:hAnsi="新宋体" w:eastAsia="新宋体"/>
          <w:b/>
          <w:szCs w:val="21"/>
        </w:rPr>
        <w:t>）</w:t>
      </w:r>
      <w:r>
        <w:rPr>
          <w:rFonts w:hint="eastAsia" w:ascii="新宋体" w:hAnsi="新宋体" w:eastAsia="新宋体"/>
          <w:b/>
          <w:szCs w:val="21"/>
        </w:rPr>
        <w:t>音乐评论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1.音乐评论的对象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音乐评论的体式</w:t>
      </w:r>
    </w:p>
    <w:p>
      <w:pPr>
        <w:pStyle w:val="9"/>
        <w:spacing w:before="31" w:beforeLines="10" w:after="31" w:afterLines="10" w:line="288" w:lineRule="auto"/>
        <w:rPr>
          <w:rFonts w:ascii="新宋体" w:hAnsi="新宋体" w:eastAsia="新宋体"/>
          <w:b/>
          <w:szCs w:val="21"/>
        </w:rPr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评论家掌握对象的两种方式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（四）音乐学的方法论体系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</w:rPr>
        <w:t>传统方法论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现代方法论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美学与历史相统一的方法论</w:t>
      </w:r>
    </w:p>
    <w:p>
      <w:pPr>
        <w:pStyle w:val="9"/>
        <w:spacing w:before="31" w:beforeLines="10" w:after="31" w:afterLines="10" w:line="288" w:lineRule="auto"/>
        <w:ind w:firstLine="480"/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方法论运用的常见误区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（五）文论写作的三个第一性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sz w:val="24"/>
        </w:rPr>
        <w:t>1.</w:t>
      </w:r>
      <w:r>
        <w:rPr>
          <w:rFonts w:hint="eastAsia"/>
          <w:sz w:val="24"/>
        </w:rPr>
        <w:t>研究与对象的关系：对象第一性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研究与资料的关系：资料第一性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研究与写作的关系：研究第一性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（六）论文写作的“论题相关性原则”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</w:rPr>
        <w:t>论题、论域及其相关世界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“论题相关性原则”的关联度四种</w:t>
      </w:r>
    </w:p>
    <w:p>
      <w:pPr>
        <w:pStyle w:val="9"/>
        <w:spacing w:before="31" w:beforeLines="10" w:after="31" w:afterLines="10" w:line="288" w:lineRule="auto"/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“论题相关性原则”与论文写作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（七）选题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sz w:val="24"/>
        </w:rPr>
        <w:t>.</w:t>
      </w:r>
      <w:r>
        <w:rPr>
          <w:rFonts w:hint="eastAsia"/>
          <w:sz w:val="24"/>
        </w:rPr>
        <w:t>课题、选题、论题、标题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sz w:val="24"/>
        </w:rPr>
        <w:t>.</w:t>
      </w:r>
      <w:r>
        <w:rPr>
          <w:rFonts w:hint="eastAsia"/>
          <w:sz w:val="24"/>
        </w:rPr>
        <w:t>选题的创新意义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sz w:val="24"/>
        </w:rPr>
        <w:t>.</w:t>
      </w:r>
      <w:r>
        <w:rPr>
          <w:rFonts w:hint="eastAsia"/>
          <w:sz w:val="24"/>
        </w:rPr>
        <w:t>选题的基本原则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sz w:val="24"/>
        </w:rPr>
        <w:t>.</w:t>
      </w:r>
      <w:r>
        <w:rPr>
          <w:rFonts w:hint="eastAsia"/>
          <w:sz w:val="24"/>
        </w:rPr>
        <w:t>研究视角与选题之相互关系</w:t>
      </w:r>
    </w:p>
    <w:p>
      <w:pPr>
        <w:pStyle w:val="9"/>
        <w:spacing w:before="31" w:beforeLines="10" w:after="31" w:afterLines="10" w:line="288" w:lineRule="auto"/>
        <w:ind w:firstLine="480"/>
        <w:rPr>
          <w:sz w:val="24"/>
        </w:rPr>
      </w:pPr>
      <w:r>
        <w:rPr>
          <w:rFonts w:hint="eastAsia"/>
          <w:sz w:val="24"/>
        </w:rPr>
        <w:t>5</w:t>
      </w:r>
      <w:r>
        <w:rPr>
          <w:sz w:val="24"/>
        </w:rPr>
        <w:t>.</w:t>
      </w:r>
      <w:r>
        <w:rPr>
          <w:rFonts w:hint="eastAsia"/>
          <w:sz w:val="24"/>
        </w:rPr>
        <w:t>几种不同的选题类型</w:t>
      </w:r>
    </w:p>
    <w:p>
      <w:pPr>
        <w:pStyle w:val="9"/>
        <w:spacing w:before="31" w:beforeLines="10" w:after="31" w:afterLines="10" w:line="288" w:lineRule="auto"/>
        <w:ind w:firstLine="480"/>
      </w:pPr>
      <w:r>
        <w:rPr>
          <w:sz w:val="24"/>
        </w:rPr>
        <w:t>6.</w:t>
      </w:r>
      <w:r>
        <w:rPr>
          <w:rFonts w:hint="eastAsia"/>
        </w:rPr>
        <w:t>选题中的常见误区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（八）资料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1.资料在音乐学文论写作中的意义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资料的类别和等级</w:t>
      </w:r>
    </w:p>
    <w:p>
      <w:pPr>
        <w:pStyle w:val="9"/>
        <w:spacing w:before="31" w:beforeLines="10" w:after="31" w:afterLines="10" w:line="288" w:lineRule="auto"/>
      </w:pPr>
      <w:r>
        <w:t>3.</w:t>
      </w:r>
      <w:r>
        <w:rPr>
          <w:rFonts w:hint="eastAsia"/>
        </w:rPr>
        <w:t>资料的收集与处理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（九）立论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1.立论的意义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立论的背景和依据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立论的思维过程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立论的方法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（十）篇幅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1.篇幅择定的基本原则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篇幅与学术价值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篇幅限定下的应对之策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（十一）篇章结构及其逻辑关系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1.结构在文论写作中的意义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结构设计的基本原则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结构层次及其逻辑关系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几种常见的结构模式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5</w:t>
      </w:r>
      <w:r>
        <w:t>.</w:t>
      </w:r>
      <w:r>
        <w:rPr>
          <w:rFonts w:hint="eastAsia"/>
        </w:rPr>
        <w:t>段落：结构的基本单元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（十二）概念、论述、论证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1.概念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论述与论证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论述与论证中的常见弊端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（十三）论据与论点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1.论述过程中资料的意义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论据与论点的有机性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图谱分析以及图文搭配的技巧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（十四）各级标题的拟定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1.标题的种类、功能与常见样式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标题拟定的原则、要求和技巧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各级标题的层次感和逻辑性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（十五）理性 、想象与激情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1.逻辑思维与“换脑筋”的必要性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合理想象在文论写作中的意义</w:t>
      </w:r>
    </w:p>
    <w:p>
      <w:pPr>
        <w:pStyle w:val="9"/>
        <w:spacing w:before="31" w:beforeLines="10" w:after="31" w:afterLines="10" w:line="288" w:lineRule="auto"/>
      </w:pPr>
      <w:r>
        <w:t>3</w:t>
      </w:r>
      <w:r>
        <w:rPr>
          <w:rFonts w:hint="eastAsia"/>
        </w:rPr>
        <w:t>学术激情与表达激情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（十六）语言表达的技巧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</w:t>
      </w:r>
      <w:r>
        <w:t>.</w:t>
      </w:r>
      <w:r>
        <w:rPr>
          <w:rFonts w:hint="eastAsia"/>
        </w:rPr>
        <w:t>语言表达的“信达雅”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语言表达与音乐文论的可持续性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不同文体的语言风格</w:t>
      </w:r>
    </w:p>
    <w:p>
      <w:pPr>
        <w:pStyle w:val="9"/>
        <w:spacing w:before="31" w:beforeLines="10" w:after="31" w:afterLines="10" w:line="288" w:lineRule="auto"/>
        <w:rPr>
          <w:rFonts w:hint="eastAsia"/>
        </w:rPr>
      </w:pPr>
      <w:r>
        <w:rPr>
          <w:rFonts w:hint="eastAsia"/>
        </w:rPr>
        <w:t>4</w:t>
      </w:r>
      <w:r>
        <w:t>.</w:t>
      </w:r>
      <w:r>
        <w:rPr>
          <w:rFonts w:hint="eastAsia"/>
        </w:rPr>
        <w:t>作者个人风格的张扬</w:t>
      </w:r>
    </w:p>
    <w:p>
      <w:pPr>
        <w:pStyle w:val="9"/>
        <w:spacing w:before="31" w:beforeLines="10" w:after="31" w:afterLines="10" w:line="288" w:lineRule="auto"/>
        <w:ind w:firstLine="422"/>
        <w:rPr>
          <w:rFonts w:ascii="新宋体" w:hAnsi="新宋体" w:eastAsia="新宋体"/>
          <w:b/>
          <w:szCs w:val="21"/>
        </w:rPr>
      </w:pPr>
      <w:r>
        <w:rPr>
          <w:rFonts w:hint="eastAsia" w:ascii="新宋体" w:hAnsi="新宋体" w:eastAsia="新宋体"/>
          <w:b/>
          <w:szCs w:val="21"/>
        </w:rPr>
        <w:t>（十七）学术规范的理论、形式与方法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1.学术规范与学术创新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论文摘要与关键词</w:t>
      </w:r>
    </w:p>
    <w:p>
      <w:pPr>
        <w:pStyle w:val="9"/>
        <w:spacing w:before="31" w:beforeLines="10" w:after="31" w:afterLines="10" w:line="288" w:lineRule="auto"/>
      </w:pPr>
      <w:r>
        <w:rPr>
          <w:rFonts w:hint="eastAsia"/>
        </w:rPr>
        <w:t>3</w:t>
      </w:r>
      <w:r>
        <w:t>.</w:t>
      </w:r>
      <w:r>
        <w:rPr>
          <w:rFonts w:hint="eastAsia"/>
        </w:rPr>
        <w:t>引文的种类及其援引的基本原则</w:t>
      </w:r>
    </w:p>
    <w:p>
      <w:pPr>
        <w:pStyle w:val="9"/>
        <w:spacing w:before="31" w:beforeLines="10" w:after="31" w:afterLines="10" w:line="288" w:lineRule="auto"/>
      </w:pPr>
      <w:r>
        <w:t>4.</w:t>
      </w:r>
      <w:r>
        <w:rPr>
          <w:rFonts w:hint="eastAsia"/>
        </w:rPr>
        <w:t>注码及注文</w:t>
      </w:r>
    </w:p>
    <w:p>
      <w:pPr>
        <w:pStyle w:val="9"/>
        <w:spacing w:before="31" w:beforeLines="10" w:after="31" w:afterLines="10" w:line="288" w:lineRule="auto"/>
      </w:pPr>
      <w:r>
        <w:t>5.</w:t>
      </w:r>
      <w:r>
        <w:rPr>
          <w:rFonts w:hint="eastAsia"/>
        </w:rPr>
        <w:t>参考文献与附录</w:t>
      </w:r>
    </w:p>
    <w:p>
      <w:pPr>
        <w:spacing w:before="31" w:beforeLines="10" w:after="31" w:afterLines="10" w:line="264" w:lineRule="auto"/>
        <w:ind w:left="420" w:leftChars="200"/>
        <w:rPr>
          <w:szCs w:val="21"/>
        </w:rPr>
      </w:pPr>
      <w:r>
        <w:rPr>
          <w:rFonts w:hint="eastAsia"/>
          <w:b/>
          <w:szCs w:val="21"/>
        </w:rPr>
        <w:t>参考教材或主要参考书</w:t>
      </w:r>
      <w:r>
        <w:rPr>
          <w:rFonts w:hint="eastAsia"/>
          <w:szCs w:val="21"/>
        </w:rPr>
        <w:t>：</w:t>
      </w:r>
    </w:p>
    <w:p>
      <w:pPr>
        <w:spacing w:before="31" w:beforeLines="10" w:after="31" w:afterLines="10" w:line="264" w:lineRule="auto"/>
        <w:ind w:left="420" w:leftChars="200" w:firstLine="420"/>
        <w:rPr>
          <w:szCs w:val="21"/>
        </w:rPr>
      </w:pPr>
      <w:r>
        <w:rPr>
          <w:rFonts w:hint="eastAsia"/>
          <w:szCs w:val="21"/>
        </w:rPr>
        <w:t>1、居其宏：《音乐学文论写作教程（2</w:t>
      </w:r>
      <w:r>
        <w:rPr>
          <w:szCs w:val="21"/>
        </w:rPr>
        <w:t>011</w:t>
      </w:r>
      <w:r>
        <w:rPr>
          <w:rFonts w:hint="eastAsia"/>
          <w:szCs w:val="21"/>
        </w:rPr>
        <w:t>年修订版）》，北京：中央音乐学院出版社，20</w:t>
      </w:r>
      <w:r>
        <w:rPr>
          <w:szCs w:val="21"/>
        </w:rPr>
        <w:t>12</w:t>
      </w:r>
      <w:r>
        <w:rPr>
          <w:rFonts w:hint="eastAsia"/>
          <w:szCs w:val="21"/>
        </w:rPr>
        <w:t>.</w:t>
      </w:r>
    </w:p>
    <w:p>
      <w:pPr>
        <w:spacing w:before="31" w:beforeLines="10" w:after="31" w:afterLines="10" w:line="264" w:lineRule="auto"/>
        <w:ind w:left="420" w:leftChars="200" w:firstLine="420"/>
        <w:rPr>
          <w:szCs w:val="21"/>
        </w:rPr>
      </w:pPr>
      <w:r>
        <w:rPr>
          <w:rFonts w:hint="eastAsia"/>
          <w:szCs w:val="21"/>
        </w:rPr>
        <w:t>2、方宝璋、郑俊辉：《中国音乐文献学》，福州：福建教育出版社，</w:t>
      </w:r>
      <w:r>
        <w:rPr>
          <w:szCs w:val="21"/>
        </w:rPr>
        <w:t>2006</w:t>
      </w:r>
      <w:r>
        <w:rPr>
          <w:rFonts w:hint="eastAsia"/>
          <w:szCs w:val="21"/>
        </w:rPr>
        <w:t>.</w:t>
      </w:r>
    </w:p>
    <w:p>
      <w:pPr>
        <w:pStyle w:val="9"/>
        <w:spacing w:before="31" w:beforeLines="10" w:after="31" w:afterLines="10" w:line="288" w:lineRule="auto"/>
        <w:rPr>
          <w:rFonts w:ascii="新宋体" w:hAnsi="新宋体" w:eastAsia="新宋体"/>
          <w:szCs w:val="21"/>
        </w:rPr>
      </w:pPr>
    </w:p>
    <w:p>
      <w:pPr>
        <w:spacing w:before="31" w:beforeLines="10" w:after="31" w:afterLines="10" w:line="288" w:lineRule="auto"/>
      </w:pPr>
    </w:p>
    <w:sectPr>
      <w:footerReference r:id="rId3" w:type="default"/>
      <w:footerReference r:id="rId4" w:type="even"/>
      <w:pgSz w:w="11164" w:h="15485"/>
      <w:pgMar w:top="1361" w:right="1361" w:bottom="1247" w:left="1361" w:header="851" w:footer="851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sz w:val="21"/>
        <w:szCs w:val="21"/>
      </w:rPr>
    </w:pPr>
    <w:r>
      <w:rPr>
        <w:rFonts w:hint="eastAsia"/>
        <w:sz w:val="21"/>
        <w:szCs w:val="21"/>
      </w:rPr>
      <w:t>第</w:t>
    </w:r>
    <w:r>
      <w:rPr>
        <w:rStyle w:val="8"/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PAGE </w:instrText>
    </w:r>
    <w:r>
      <w:rPr>
        <w:rStyle w:val="8"/>
        <w:sz w:val="21"/>
        <w:szCs w:val="21"/>
      </w:rPr>
      <w:fldChar w:fldCharType="separate"/>
    </w:r>
    <w:r>
      <w:rPr>
        <w:rStyle w:val="8"/>
        <w:sz w:val="21"/>
        <w:szCs w:val="21"/>
      </w:rPr>
      <w:t>3</w:t>
    </w:r>
    <w:r>
      <w:rPr>
        <w:rStyle w:val="8"/>
        <w:sz w:val="21"/>
        <w:szCs w:val="21"/>
      </w:rPr>
      <w:fldChar w:fldCharType="end"/>
    </w:r>
    <w:r>
      <w:rPr>
        <w:rFonts w:hint="eastAsia"/>
        <w:sz w:val="21"/>
        <w:szCs w:val="21"/>
      </w:rPr>
      <w:t>页，共</w:t>
    </w:r>
    <w:r>
      <w:rPr>
        <w:rStyle w:val="8"/>
        <w:sz w:val="21"/>
        <w:szCs w:val="21"/>
      </w:rPr>
      <w:fldChar w:fldCharType="begin"/>
    </w:r>
    <w:r>
      <w:rPr>
        <w:rStyle w:val="8"/>
        <w:sz w:val="21"/>
        <w:szCs w:val="21"/>
      </w:rPr>
      <w:instrText xml:space="preserve"> NUMPAGES </w:instrText>
    </w:r>
    <w:r>
      <w:rPr>
        <w:rStyle w:val="8"/>
        <w:sz w:val="21"/>
        <w:szCs w:val="21"/>
      </w:rPr>
      <w:fldChar w:fldCharType="separate"/>
    </w:r>
    <w:r>
      <w:rPr>
        <w:rStyle w:val="8"/>
        <w:sz w:val="21"/>
        <w:szCs w:val="21"/>
      </w:rPr>
      <w:t>3</w:t>
    </w:r>
    <w:r>
      <w:rPr>
        <w:rStyle w:val="8"/>
        <w:sz w:val="21"/>
        <w:szCs w:val="21"/>
      </w:rPr>
      <w:fldChar w:fldCharType="end"/>
    </w:r>
    <w:r>
      <w:rPr>
        <w:rFonts w:hint="eastAsia"/>
        <w:sz w:val="21"/>
        <w:szCs w:val="21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5A5"/>
    <w:rsid w:val="00061B4F"/>
    <w:rsid w:val="00065C47"/>
    <w:rsid w:val="000762FE"/>
    <w:rsid w:val="00080730"/>
    <w:rsid w:val="0008607A"/>
    <w:rsid w:val="00086EE7"/>
    <w:rsid w:val="000C25FD"/>
    <w:rsid w:val="000E4AD5"/>
    <w:rsid w:val="00113814"/>
    <w:rsid w:val="001640BE"/>
    <w:rsid w:val="001848FB"/>
    <w:rsid w:val="001B1D70"/>
    <w:rsid w:val="001C165A"/>
    <w:rsid w:val="001C2F19"/>
    <w:rsid w:val="001D4A26"/>
    <w:rsid w:val="001E149A"/>
    <w:rsid w:val="0020731D"/>
    <w:rsid w:val="0023282D"/>
    <w:rsid w:val="00233E2B"/>
    <w:rsid w:val="0024344A"/>
    <w:rsid w:val="002E0158"/>
    <w:rsid w:val="00311038"/>
    <w:rsid w:val="0033096F"/>
    <w:rsid w:val="003704C9"/>
    <w:rsid w:val="00375432"/>
    <w:rsid w:val="003A4FD9"/>
    <w:rsid w:val="003B48F8"/>
    <w:rsid w:val="003C1268"/>
    <w:rsid w:val="003C498A"/>
    <w:rsid w:val="003D08CF"/>
    <w:rsid w:val="003F61C3"/>
    <w:rsid w:val="00432D56"/>
    <w:rsid w:val="00443036"/>
    <w:rsid w:val="004B65A5"/>
    <w:rsid w:val="004D42EC"/>
    <w:rsid w:val="00521CC0"/>
    <w:rsid w:val="00535C1D"/>
    <w:rsid w:val="005743BB"/>
    <w:rsid w:val="00581E66"/>
    <w:rsid w:val="00597CBE"/>
    <w:rsid w:val="005A796B"/>
    <w:rsid w:val="005B21BB"/>
    <w:rsid w:val="005E2211"/>
    <w:rsid w:val="006C194D"/>
    <w:rsid w:val="006E0495"/>
    <w:rsid w:val="0070433D"/>
    <w:rsid w:val="0072114F"/>
    <w:rsid w:val="00741BA4"/>
    <w:rsid w:val="007876FB"/>
    <w:rsid w:val="007B76ED"/>
    <w:rsid w:val="007D6FDB"/>
    <w:rsid w:val="007F4C05"/>
    <w:rsid w:val="00864E9F"/>
    <w:rsid w:val="0087510B"/>
    <w:rsid w:val="00893B85"/>
    <w:rsid w:val="00971C90"/>
    <w:rsid w:val="00991A5E"/>
    <w:rsid w:val="009A6931"/>
    <w:rsid w:val="00A37C69"/>
    <w:rsid w:val="00A50A5B"/>
    <w:rsid w:val="00A605E9"/>
    <w:rsid w:val="00A8099C"/>
    <w:rsid w:val="00AD73EE"/>
    <w:rsid w:val="00B10A84"/>
    <w:rsid w:val="00B11735"/>
    <w:rsid w:val="00B53FB4"/>
    <w:rsid w:val="00B54A9F"/>
    <w:rsid w:val="00B94601"/>
    <w:rsid w:val="00BB42AE"/>
    <w:rsid w:val="00C176BC"/>
    <w:rsid w:val="00C404D4"/>
    <w:rsid w:val="00C76400"/>
    <w:rsid w:val="00CE7CB2"/>
    <w:rsid w:val="00D029C7"/>
    <w:rsid w:val="00D36237"/>
    <w:rsid w:val="00D37912"/>
    <w:rsid w:val="00D76B44"/>
    <w:rsid w:val="00D94FF9"/>
    <w:rsid w:val="00DE0D85"/>
    <w:rsid w:val="00E1145D"/>
    <w:rsid w:val="00E31480"/>
    <w:rsid w:val="00E6651A"/>
    <w:rsid w:val="00E8034E"/>
    <w:rsid w:val="00EC6FF8"/>
    <w:rsid w:val="00EE3A0D"/>
    <w:rsid w:val="00EF1CE7"/>
    <w:rsid w:val="00F13F58"/>
    <w:rsid w:val="00F37904"/>
    <w:rsid w:val="00F431A9"/>
    <w:rsid w:val="00F7059A"/>
    <w:rsid w:val="00F70D0A"/>
    <w:rsid w:val="00F9484E"/>
    <w:rsid w:val="00FE5C11"/>
    <w:rsid w:val="00FE73E9"/>
    <w:rsid w:val="15F01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paragraph" w:customStyle="1" w:styleId="9">
    <w:name w:val="列出段落"/>
    <w:basedOn w:val="1"/>
    <w:qFormat/>
    <w:uiPriority w:val="0"/>
    <w:pPr>
      <w:ind w:firstLine="420" w:firstLineChars="200"/>
    </w:pPr>
  </w:style>
  <w:style w:type="paragraph" w:customStyle="1" w:styleId="10">
    <w:name w:val="Char Char1 Char"/>
    <w:basedOn w:val="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jh</Company>
  <Pages>7</Pages>
  <Words>428</Words>
  <Characters>2440</Characters>
  <Lines>20</Lines>
  <Paragraphs>5</Paragraphs>
  <TotalTime>110</TotalTime>
  <ScaleCrop>false</ScaleCrop>
  <LinksUpToDate>false</LinksUpToDate>
  <CharactersWithSpaces>2863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2021-07-04T12:55:00Z</dcterms:created>
  <dc:creator>jh</dc:creator>
  <cp:lastModifiedBy>蓝色多瑙河</cp:lastModifiedBy>
  <cp:lastPrinted>2021-07-06T08:30:54Z</cp:lastPrinted>
  <dcterms:modified xsi:type="dcterms:W3CDTF">2021-07-06T08:34:18Z</dcterms:modified>
  <dc:title>浙江师范大学2009年硕士研究生入学考试复试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C24A45FDDB4A47A3ACBED2011DEEC103</vt:lpwstr>
  </property>
</Properties>
</file>